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jc w:val="center"/>
        <w:rPr>
          <w:rFonts w:hint="eastAsia" w:ascii="方正小标宋简体" w:hAnsi="方正小标宋简体" w:eastAsia="方正小标宋简体" w:cs="方正小标宋简体"/>
          <w:bCs/>
          <w:color w:val="000000"/>
          <w:spacing w:val="15"/>
          <w:sz w:val="48"/>
          <w:szCs w:val="48"/>
        </w:rPr>
      </w:pPr>
    </w:p>
    <w:p>
      <w:pPr>
        <w:spacing w:line="530" w:lineRule="exact"/>
        <w:jc w:val="center"/>
        <w:rPr>
          <w:rFonts w:hint="eastAsia" w:ascii="方正小标宋简体" w:hAnsi="方正小标宋简体" w:eastAsia="方正小标宋简体" w:cs="方正小标宋简体"/>
          <w:bCs/>
          <w:color w:val="000000"/>
          <w:spacing w:val="15"/>
          <w:sz w:val="48"/>
          <w:szCs w:val="48"/>
        </w:rPr>
      </w:pPr>
    </w:p>
    <w:p>
      <w:pPr>
        <w:spacing w:line="530" w:lineRule="exact"/>
        <w:jc w:val="center"/>
        <w:rPr>
          <w:rFonts w:hint="eastAsia" w:ascii="方正小标宋简体" w:hAnsi="方正小标宋简体" w:eastAsia="方正小标宋简体" w:cs="方正小标宋简体"/>
          <w:bCs/>
          <w:color w:val="000000"/>
          <w:spacing w:val="15"/>
          <w:sz w:val="48"/>
          <w:szCs w:val="48"/>
        </w:rPr>
      </w:pPr>
    </w:p>
    <w:p>
      <w:pPr>
        <w:spacing w:line="530" w:lineRule="exact"/>
        <w:jc w:val="center"/>
        <w:rPr>
          <w:rFonts w:hint="eastAsia" w:ascii="方正小标宋简体" w:hAnsi="方正小标宋简体" w:eastAsia="方正小标宋简体" w:cs="方正小标宋简体"/>
          <w:bCs/>
          <w:color w:val="000000"/>
          <w:spacing w:val="15"/>
          <w:sz w:val="48"/>
          <w:szCs w:val="48"/>
        </w:rPr>
      </w:pPr>
    </w:p>
    <w:p>
      <w:pPr>
        <w:spacing w:line="530" w:lineRule="exact"/>
        <w:jc w:val="center"/>
        <w:rPr>
          <w:rFonts w:hint="eastAsia" w:ascii="方正小标宋简体" w:hAnsi="方正小标宋简体" w:eastAsia="方正小标宋简体" w:cs="方正小标宋简体"/>
          <w:bCs/>
          <w:color w:val="000000"/>
          <w:spacing w:val="15"/>
          <w:sz w:val="48"/>
          <w:szCs w:val="48"/>
        </w:rPr>
      </w:pPr>
    </w:p>
    <w:p>
      <w:pPr>
        <w:spacing w:line="530" w:lineRule="exact"/>
        <w:jc w:val="center"/>
        <w:rPr>
          <w:rFonts w:hint="eastAsia" w:ascii="方正小标宋简体" w:hAnsi="方正小标宋简体" w:eastAsia="方正小标宋简体" w:cs="方正小标宋简体"/>
          <w:bCs/>
          <w:color w:val="000000"/>
          <w:spacing w:val="15"/>
          <w:sz w:val="48"/>
          <w:szCs w:val="48"/>
        </w:rPr>
      </w:pPr>
    </w:p>
    <w:p>
      <w:pPr>
        <w:spacing w:line="530" w:lineRule="exact"/>
        <w:jc w:val="center"/>
        <w:rPr>
          <w:rFonts w:hint="eastAsia" w:ascii="方正小标宋简体" w:hAnsi="方正小标宋简体" w:eastAsia="方正小标宋简体" w:cs="方正小标宋简体"/>
          <w:bCs/>
          <w:color w:val="000000"/>
          <w:spacing w:val="15"/>
          <w:sz w:val="48"/>
          <w:szCs w:val="48"/>
        </w:rPr>
      </w:pPr>
    </w:p>
    <w:p>
      <w:pPr>
        <w:spacing w:line="530" w:lineRule="exact"/>
        <w:jc w:val="center"/>
        <w:rPr>
          <w:rFonts w:hint="eastAsia" w:ascii="方正小标宋简体" w:hAnsi="方正小标宋简体" w:eastAsia="方正小标宋简体" w:cs="方正小标宋简体"/>
          <w:bCs/>
          <w:color w:val="000000"/>
          <w:spacing w:val="15"/>
          <w:sz w:val="48"/>
          <w:szCs w:val="48"/>
        </w:rPr>
      </w:pPr>
    </w:p>
    <w:p>
      <w:pPr>
        <w:spacing w:line="530" w:lineRule="exact"/>
        <w:jc w:val="center"/>
        <w:rPr>
          <w:rFonts w:hint="eastAsia" w:ascii="方正小标宋简体" w:hAnsi="方正小标宋简体" w:eastAsia="方正小标宋简体" w:cs="方正小标宋简体"/>
          <w:bCs/>
          <w:color w:val="000000"/>
          <w:spacing w:val="15"/>
          <w:sz w:val="48"/>
          <w:szCs w:val="48"/>
        </w:rPr>
      </w:pPr>
    </w:p>
    <w:p>
      <w:pPr>
        <w:spacing w:line="530" w:lineRule="exact"/>
        <w:jc w:val="center"/>
        <w:rPr>
          <w:rFonts w:hint="eastAsia" w:ascii="方正小标宋简体" w:hAnsi="方正小标宋简体" w:eastAsia="方正小标宋简体" w:cs="方正小标宋简体"/>
          <w:bCs/>
          <w:color w:val="000000"/>
          <w:spacing w:val="15"/>
          <w:sz w:val="48"/>
          <w:szCs w:val="48"/>
        </w:rPr>
      </w:pPr>
    </w:p>
    <w:p>
      <w:pPr>
        <w:spacing w:line="530" w:lineRule="exact"/>
        <w:jc w:val="center"/>
        <w:rPr>
          <w:rFonts w:hint="eastAsia" w:ascii="方正小标宋简体" w:hAnsi="方正小标宋简体" w:eastAsia="方正小标宋简体" w:cs="方正小标宋简体"/>
          <w:bCs/>
          <w:color w:val="000000"/>
          <w:spacing w:val="15"/>
          <w:sz w:val="48"/>
          <w:szCs w:val="48"/>
        </w:rPr>
      </w:pPr>
    </w:p>
    <w:p>
      <w:pPr>
        <w:spacing w:line="530" w:lineRule="exact"/>
        <w:jc w:val="center"/>
        <w:rPr>
          <w:rFonts w:hint="eastAsia" w:ascii="方正小标宋简体" w:hAnsi="方正小标宋简体" w:eastAsia="方正小标宋简体" w:cs="方正小标宋简体"/>
          <w:bCs/>
          <w:color w:val="000000"/>
          <w:spacing w:val="15"/>
          <w:sz w:val="48"/>
          <w:szCs w:val="48"/>
        </w:rPr>
      </w:pPr>
    </w:p>
    <w:p>
      <w:pPr>
        <w:spacing w:line="530" w:lineRule="exact"/>
        <w:jc w:val="both"/>
        <w:rPr>
          <w:rStyle w:val="9"/>
          <w:rFonts w:ascii="创艺简标宋" w:eastAsia="创艺简标宋"/>
          <w:color w:val="000000"/>
          <w:sz w:val="48"/>
          <w:szCs w:val="48"/>
        </w:rPr>
      </w:pPr>
      <w:r>
        <w:rPr>
          <w:rFonts w:hint="eastAsia" w:ascii="方正小标宋简体" w:hAnsi="方正小标宋简体" w:eastAsia="方正小标宋简体" w:cs="方正小标宋简体"/>
          <w:bCs/>
          <w:color w:val="000000"/>
          <w:spacing w:val="15"/>
          <w:sz w:val="48"/>
          <w:szCs w:val="48"/>
        </w:rPr>
        <w:t>金华市投资促进中心202</w:t>
      </w:r>
      <w:r>
        <w:rPr>
          <w:rFonts w:hint="eastAsia" w:ascii="方正小标宋简体" w:hAnsi="方正小标宋简体" w:eastAsia="方正小标宋简体" w:cs="方正小标宋简体"/>
          <w:bCs/>
          <w:color w:val="000000"/>
          <w:spacing w:val="15"/>
          <w:sz w:val="48"/>
          <w:szCs w:val="48"/>
          <w:lang w:val="en-US" w:eastAsia="zh-CN"/>
        </w:rPr>
        <w:t>2</w:t>
      </w:r>
      <w:r>
        <w:rPr>
          <w:rFonts w:hint="eastAsia" w:ascii="方正小标宋简体" w:hAnsi="方正小标宋简体" w:eastAsia="方正小标宋简体" w:cs="方正小标宋简体"/>
          <w:bCs/>
          <w:color w:val="000000"/>
          <w:spacing w:val="15"/>
          <w:sz w:val="48"/>
          <w:szCs w:val="48"/>
        </w:rPr>
        <w:t>年部门预算</w:t>
      </w:r>
    </w:p>
    <w:p>
      <w:pPr>
        <w:spacing w:line="530" w:lineRule="exact"/>
        <w:ind w:firstLine="588" w:firstLineChars="196"/>
        <w:rPr>
          <w:rStyle w:val="9"/>
          <w:color w:val="000000"/>
          <w:sz w:val="30"/>
          <w:szCs w:val="30"/>
        </w:rPr>
      </w:pP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27" w:firstLineChars="196"/>
        <w:textAlignment w:val="auto"/>
        <w:outlineLvl w:val="9"/>
        <w:rPr>
          <w:rStyle w:val="9"/>
          <w:rFonts w:hint="eastAsia" w:ascii="黑体" w:eastAsia="黑体"/>
          <w:b w:val="0"/>
          <w:color w:val="000000"/>
        </w:rPr>
      </w:pP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27" w:firstLineChars="196"/>
        <w:textAlignment w:val="auto"/>
        <w:outlineLvl w:val="9"/>
        <w:rPr>
          <w:rStyle w:val="9"/>
          <w:rFonts w:hint="eastAsia" w:ascii="黑体" w:eastAsia="黑体"/>
          <w:b w:val="0"/>
          <w:color w:val="000000"/>
        </w:rPr>
      </w:pP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27" w:firstLineChars="196"/>
        <w:textAlignment w:val="auto"/>
        <w:outlineLvl w:val="9"/>
        <w:rPr>
          <w:rStyle w:val="9"/>
          <w:rFonts w:hint="eastAsia" w:ascii="黑体" w:eastAsia="黑体"/>
          <w:b w:val="0"/>
          <w:color w:val="000000"/>
        </w:rPr>
      </w:pP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27" w:firstLineChars="196"/>
        <w:textAlignment w:val="auto"/>
        <w:outlineLvl w:val="9"/>
        <w:rPr>
          <w:rStyle w:val="9"/>
          <w:rFonts w:hint="eastAsia" w:ascii="黑体" w:eastAsia="黑体"/>
          <w:b w:val="0"/>
          <w:color w:val="000000"/>
        </w:rPr>
      </w:pP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27" w:firstLineChars="196"/>
        <w:textAlignment w:val="auto"/>
        <w:outlineLvl w:val="9"/>
        <w:rPr>
          <w:rStyle w:val="9"/>
          <w:rFonts w:hint="eastAsia" w:ascii="黑体" w:eastAsia="黑体"/>
          <w:b w:val="0"/>
          <w:color w:val="000000"/>
        </w:rPr>
      </w:pP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27" w:firstLineChars="196"/>
        <w:textAlignment w:val="auto"/>
        <w:outlineLvl w:val="9"/>
        <w:rPr>
          <w:rStyle w:val="9"/>
          <w:rFonts w:hint="eastAsia" w:ascii="黑体" w:eastAsia="黑体"/>
          <w:b w:val="0"/>
          <w:color w:val="000000"/>
        </w:rPr>
      </w:pP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27" w:firstLineChars="196"/>
        <w:textAlignment w:val="auto"/>
        <w:outlineLvl w:val="9"/>
        <w:rPr>
          <w:rStyle w:val="9"/>
          <w:rFonts w:hint="eastAsia" w:ascii="黑体" w:eastAsia="黑体"/>
          <w:b w:val="0"/>
          <w:color w:val="000000"/>
        </w:rPr>
      </w:pP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27" w:firstLineChars="196"/>
        <w:textAlignment w:val="auto"/>
        <w:outlineLvl w:val="9"/>
        <w:rPr>
          <w:rStyle w:val="9"/>
          <w:rFonts w:hint="eastAsia" w:ascii="黑体" w:eastAsia="黑体"/>
          <w:b w:val="0"/>
          <w:color w:val="000000"/>
        </w:rPr>
      </w:pP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27" w:firstLineChars="196"/>
        <w:textAlignment w:val="auto"/>
        <w:outlineLvl w:val="9"/>
        <w:rPr>
          <w:rStyle w:val="9"/>
          <w:rFonts w:hint="eastAsia" w:ascii="黑体" w:eastAsia="黑体"/>
          <w:b w:val="0"/>
          <w:color w:val="000000"/>
        </w:rPr>
      </w:pP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27" w:firstLineChars="196"/>
        <w:textAlignment w:val="auto"/>
        <w:outlineLvl w:val="9"/>
        <w:rPr>
          <w:rStyle w:val="9"/>
          <w:rFonts w:hint="eastAsia" w:ascii="黑体" w:eastAsia="黑体"/>
          <w:b w:val="0"/>
          <w:color w:val="000000"/>
        </w:rPr>
      </w:pP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27" w:firstLineChars="196"/>
        <w:textAlignment w:val="auto"/>
        <w:outlineLvl w:val="9"/>
        <w:rPr>
          <w:rStyle w:val="9"/>
          <w:rFonts w:hint="eastAsia" w:ascii="黑体" w:eastAsia="黑体"/>
          <w:b w:val="0"/>
          <w:color w:val="000000"/>
        </w:rPr>
        <w:sectPr>
          <w:headerReference r:id="rId3" w:type="default"/>
          <w:footerReference r:id="rId4" w:type="default"/>
          <w:pgSz w:w="11906" w:h="16838"/>
          <w:pgMar w:top="1440" w:right="1800" w:bottom="1440" w:left="1800" w:header="851" w:footer="992" w:gutter="0"/>
          <w:pgNumType w:fmt="decimalFullWidth" w:start="1"/>
          <w:cols w:space="425" w:num="1"/>
          <w:docGrid w:type="lines" w:linePitch="312" w:charSpace="0"/>
        </w:sectPr>
      </w:pPr>
    </w:p>
    <w:p>
      <w:pPr>
        <w:keepNext w:val="0"/>
        <w:keepLines w:val="0"/>
        <w:pageBreakBefore w:val="0"/>
        <w:kinsoku/>
        <w:overflowPunct/>
        <w:topLinePunct w:val="0"/>
        <w:autoSpaceDE/>
        <w:autoSpaceDN/>
        <w:bidi w:val="0"/>
        <w:adjustRightInd/>
        <w:spacing w:beforeAutospacing="0" w:afterAutospacing="0" w:line="540" w:lineRule="exact"/>
        <w:ind w:right="0" w:rightChars="0"/>
        <w:jc w:val="center"/>
        <w:textAlignment w:val="auto"/>
        <w:outlineLvl w:val="2"/>
        <w:rPr>
          <w:rStyle w:val="9"/>
          <w:rFonts w:hint="eastAsia" w:ascii="黑体" w:hAnsi="黑体" w:eastAsia="黑体" w:cs="黑体"/>
          <w:b/>
          <w:bCs w:val="0"/>
          <w:color w:val="000000"/>
          <w:sz w:val="44"/>
          <w:szCs w:val="44"/>
          <w:lang w:val="en-US" w:eastAsia="zh-CN"/>
        </w:rPr>
      </w:pPr>
      <w:r>
        <w:rPr>
          <w:rStyle w:val="9"/>
          <w:rFonts w:hint="eastAsia" w:ascii="黑体" w:hAnsi="黑体" w:eastAsia="黑体" w:cs="黑体"/>
          <w:b/>
          <w:bCs w:val="0"/>
          <w:color w:val="000000"/>
          <w:sz w:val="44"/>
          <w:szCs w:val="44"/>
          <w:lang w:val="en-US" w:eastAsia="zh-CN"/>
        </w:rPr>
        <w:t>目 录</w:t>
      </w:r>
    </w:p>
    <w:p>
      <w:pPr>
        <w:keepNext w:val="0"/>
        <w:keepLines w:val="0"/>
        <w:pageBreakBefore w:val="0"/>
        <w:numPr>
          <w:ilvl w:val="0"/>
          <w:numId w:val="0"/>
        </w:numPr>
        <w:kinsoku/>
        <w:overflowPunct/>
        <w:topLinePunct w:val="0"/>
        <w:autoSpaceDE/>
        <w:autoSpaceDN/>
        <w:bidi w:val="0"/>
        <w:adjustRightInd/>
        <w:spacing w:beforeAutospacing="0" w:afterAutospacing="0" w:line="540" w:lineRule="exact"/>
        <w:ind w:right="0" w:rightChars="0"/>
        <w:jc w:val="both"/>
        <w:textAlignment w:val="auto"/>
        <w:outlineLvl w:val="2"/>
        <w:rPr>
          <w:rStyle w:val="9"/>
          <w:rFonts w:hint="eastAsia" w:ascii="黑体" w:hAnsi="黑体" w:eastAsia="黑体" w:cs="黑体"/>
          <w:b/>
          <w:bCs w:val="0"/>
          <w:color w:val="000000"/>
          <w:sz w:val="36"/>
          <w:szCs w:val="36"/>
          <w:lang w:val="en-US" w:eastAsia="zh-CN"/>
        </w:rPr>
      </w:pPr>
      <w:r>
        <w:rPr>
          <w:rStyle w:val="9"/>
          <w:rFonts w:hint="eastAsia" w:ascii="黑体" w:hAnsi="黑体" w:eastAsia="黑体" w:cs="黑体"/>
          <w:b w:val="0"/>
          <w:bCs/>
          <w:color w:val="000000"/>
          <w:sz w:val="36"/>
          <w:szCs w:val="36"/>
          <w:lang w:val="en-US" w:eastAsia="zh-CN"/>
        </w:rPr>
        <w:t>一、</w:t>
      </w:r>
      <w:r>
        <w:rPr>
          <w:rStyle w:val="9"/>
          <w:rFonts w:hint="eastAsia" w:ascii="黑体" w:eastAsia="黑体"/>
          <w:b w:val="0"/>
          <w:color w:val="000000"/>
          <w:sz w:val="36"/>
          <w:szCs w:val="36"/>
        </w:rPr>
        <w:t>金华市投资促进中心</w:t>
      </w:r>
      <w:r>
        <w:rPr>
          <w:rStyle w:val="9"/>
          <w:rFonts w:hint="eastAsia" w:ascii="黑体" w:hAnsi="黑体" w:eastAsia="黑体" w:cs="黑体"/>
          <w:b w:val="0"/>
          <w:bCs/>
          <w:color w:val="000000"/>
          <w:sz w:val="36"/>
          <w:szCs w:val="36"/>
          <w:lang w:val="en-US" w:eastAsia="zh-CN"/>
        </w:rPr>
        <w:t>概况</w:t>
      </w:r>
      <w:r>
        <w:rPr>
          <w:rStyle w:val="9"/>
          <w:rFonts w:hint="eastAsia" w:ascii="黑体" w:hAnsi="黑体" w:eastAsia="黑体" w:cs="黑体"/>
          <w:b/>
          <w:bCs w:val="0"/>
          <w:color w:val="000000"/>
          <w:sz w:val="44"/>
          <w:szCs w:val="44"/>
          <w:lang w:val="en-US" w:eastAsia="zh-CN"/>
        </w:rPr>
        <w:t>.</w:t>
      </w:r>
      <w:r>
        <w:rPr>
          <w:rStyle w:val="9"/>
          <w:rFonts w:hint="eastAsia" w:ascii="黑体" w:hAnsi="黑体" w:eastAsia="黑体" w:cs="黑体"/>
          <w:b/>
          <w:bCs w:val="0"/>
          <w:color w:val="000000"/>
          <w:sz w:val="36"/>
          <w:szCs w:val="36"/>
          <w:lang w:val="en-US" w:eastAsia="zh-CN"/>
        </w:rPr>
        <w:t>..................1</w:t>
      </w:r>
    </w:p>
    <w:p>
      <w:pPr>
        <w:keepNext w:val="0"/>
        <w:keepLines w:val="0"/>
        <w:pageBreakBefore w:val="0"/>
        <w:numPr>
          <w:ilvl w:val="0"/>
          <w:numId w:val="0"/>
        </w:numPr>
        <w:kinsoku/>
        <w:overflowPunct/>
        <w:topLinePunct w:val="0"/>
        <w:autoSpaceDE/>
        <w:autoSpaceDN/>
        <w:bidi w:val="0"/>
        <w:adjustRightInd/>
        <w:spacing w:beforeAutospacing="0" w:afterAutospacing="0" w:line="540" w:lineRule="exact"/>
        <w:ind w:right="0" w:rightChars="0"/>
        <w:jc w:val="both"/>
        <w:textAlignment w:val="auto"/>
        <w:outlineLvl w:val="2"/>
        <w:rPr>
          <w:rStyle w:val="9"/>
          <w:rFonts w:hint="eastAsia" w:ascii="楷体" w:hAnsi="楷体" w:eastAsia="楷体" w:cs="楷体"/>
          <w:b w:val="0"/>
          <w:bCs/>
          <w:color w:val="000000"/>
          <w:sz w:val="36"/>
          <w:szCs w:val="36"/>
          <w:lang w:val="en-US" w:eastAsia="zh-CN"/>
        </w:rPr>
      </w:pPr>
      <w:r>
        <w:rPr>
          <w:rStyle w:val="9"/>
          <w:rFonts w:hint="eastAsia" w:ascii="宋体" w:hAnsi="宋体" w:eastAsia="宋体" w:cs="宋体"/>
          <w:b/>
          <w:bCs w:val="0"/>
          <w:color w:val="000000"/>
          <w:sz w:val="36"/>
          <w:szCs w:val="36"/>
          <w:lang w:val="en-US" w:eastAsia="zh-CN"/>
        </w:rPr>
        <w:t xml:space="preserve">   </w:t>
      </w:r>
      <w:r>
        <w:rPr>
          <w:rStyle w:val="9"/>
          <w:rFonts w:hint="eastAsia" w:ascii="楷体" w:hAnsi="楷体" w:eastAsia="楷体" w:cs="楷体"/>
          <w:b w:val="0"/>
          <w:bCs/>
          <w:color w:val="000000"/>
          <w:sz w:val="36"/>
          <w:szCs w:val="36"/>
          <w:lang w:val="en-US" w:eastAsia="zh-CN"/>
        </w:rPr>
        <w:t>（一）主要职能............................1</w:t>
      </w:r>
    </w:p>
    <w:p>
      <w:pPr>
        <w:keepNext w:val="0"/>
        <w:keepLines w:val="0"/>
        <w:pageBreakBefore w:val="0"/>
        <w:kinsoku/>
        <w:overflowPunct/>
        <w:topLinePunct w:val="0"/>
        <w:autoSpaceDE/>
        <w:autoSpaceDN/>
        <w:bidi w:val="0"/>
        <w:adjustRightInd/>
        <w:spacing w:beforeAutospacing="0" w:afterAutospacing="0" w:line="540" w:lineRule="exact"/>
        <w:ind w:right="0" w:rightChars="0" w:firstLine="360" w:firstLineChars="100"/>
        <w:textAlignment w:val="auto"/>
        <w:outlineLvl w:val="9"/>
        <w:rPr>
          <w:rStyle w:val="9"/>
          <w:rFonts w:hint="eastAsia" w:ascii="楷体" w:hAnsi="楷体" w:eastAsia="楷体" w:cs="楷体"/>
          <w:b w:val="0"/>
          <w:bCs/>
          <w:color w:val="000000"/>
          <w:sz w:val="36"/>
          <w:szCs w:val="36"/>
          <w:lang w:val="en-US" w:eastAsia="zh-CN"/>
        </w:rPr>
      </w:pPr>
      <w:r>
        <w:rPr>
          <w:rStyle w:val="9"/>
          <w:rFonts w:hint="eastAsia" w:ascii="楷体" w:hAnsi="楷体" w:eastAsia="楷体" w:cs="楷体"/>
          <w:b w:val="0"/>
          <w:bCs/>
          <w:color w:val="000000"/>
          <w:sz w:val="36"/>
          <w:szCs w:val="36"/>
          <w:lang w:val="en-US" w:eastAsia="zh-CN"/>
        </w:rPr>
        <w:t>（二）</w:t>
      </w:r>
      <w:r>
        <w:rPr>
          <w:rFonts w:hint="eastAsia" w:ascii="楷体" w:hAnsi="楷体" w:eastAsia="楷体" w:cs="楷体_GB2312"/>
          <w:color w:val="000000"/>
          <w:sz w:val="32"/>
          <w:szCs w:val="32"/>
        </w:rPr>
        <w:t>部门机构设置情况</w:t>
      </w:r>
      <w:r>
        <w:rPr>
          <w:rStyle w:val="9"/>
          <w:rFonts w:hint="eastAsia" w:ascii="楷体" w:hAnsi="楷体" w:eastAsia="楷体" w:cs="楷体"/>
          <w:b w:val="0"/>
          <w:bCs/>
          <w:color w:val="000000"/>
          <w:sz w:val="36"/>
          <w:szCs w:val="36"/>
          <w:lang w:val="en-US" w:eastAsia="zh-CN"/>
        </w:rPr>
        <w:t xml:space="preserve">.......................2 </w:t>
      </w:r>
    </w:p>
    <w:p>
      <w:pPr>
        <w:keepNext w:val="0"/>
        <w:keepLines w:val="0"/>
        <w:pageBreakBefore w:val="0"/>
        <w:numPr>
          <w:numId w:val="0"/>
        </w:numPr>
        <w:kinsoku/>
        <w:overflowPunct/>
        <w:topLinePunct w:val="0"/>
        <w:autoSpaceDE/>
        <w:autoSpaceDN/>
        <w:bidi w:val="0"/>
        <w:adjustRightInd/>
        <w:spacing w:beforeAutospacing="0" w:afterAutospacing="0" w:line="540" w:lineRule="exact"/>
        <w:ind w:right="0" w:rightChars="0"/>
        <w:textAlignment w:val="auto"/>
        <w:outlineLvl w:val="9"/>
        <w:rPr>
          <w:rStyle w:val="9"/>
          <w:rFonts w:hint="eastAsia" w:ascii="黑体" w:hAnsi="黑体" w:eastAsia="黑体" w:cs="黑体"/>
          <w:b w:val="0"/>
          <w:bCs/>
          <w:color w:val="000000"/>
          <w:sz w:val="36"/>
          <w:szCs w:val="36"/>
          <w:lang w:val="en-US" w:eastAsia="zh-CN"/>
        </w:rPr>
      </w:pPr>
      <w:r>
        <w:rPr>
          <w:rStyle w:val="9"/>
          <w:rFonts w:hint="eastAsia" w:ascii="黑体" w:hAnsi="黑体" w:eastAsia="黑体" w:cs="黑体"/>
          <w:b w:val="0"/>
          <w:bCs/>
          <w:color w:val="000000"/>
          <w:sz w:val="36"/>
          <w:szCs w:val="36"/>
          <w:lang w:val="en-US" w:eastAsia="zh-CN"/>
        </w:rPr>
        <w:t>二、</w:t>
      </w:r>
      <w:r>
        <w:rPr>
          <w:rStyle w:val="9"/>
          <w:rFonts w:hint="eastAsia" w:ascii="黑体" w:eastAsia="黑体"/>
          <w:b w:val="0"/>
          <w:color w:val="000000"/>
        </w:rPr>
        <w:t>金华市投资促进中心202</w:t>
      </w:r>
      <w:r>
        <w:rPr>
          <w:rStyle w:val="9"/>
          <w:rFonts w:hint="eastAsia" w:ascii="黑体" w:eastAsia="黑体"/>
          <w:b w:val="0"/>
          <w:color w:val="000000"/>
          <w:lang w:val="en-US" w:eastAsia="zh-CN"/>
        </w:rPr>
        <w:t>2</w:t>
      </w:r>
      <w:r>
        <w:rPr>
          <w:rStyle w:val="9"/>
          <w:rFonts w:hint="eastAsia" w:ascii="黑体" w:eastAsia="黑体"/>
          <w:b w:val="0"/>
          <w:color w:val="000000"/>
        </w:rPr>
        <w:t>年部门预算安排情况说明</w:t>
      </w:r>
      <w:r>
        <w:rPr>
          <w:rStyle w:val="9"/>
          <w:rFonts w:hint="eastAsia" w:ascii="黑体" w:hAnsi="黑体" w:eastAsia="黑体" w:cs="黑体"/>
          <w:b w:val="0"/>
          <w:bCs/>
          <w:color w:val="000000"/>
          <w:sz w:val="36"/>
          <w:szCs w:val="36"/>
          <w:lang w:val="en-US" w:eastAsia="zh-CN"/>
        </w:rPr>
        <w:t xml:space="preserve">.2 </w:t>
      </w:r>
    </w:p>
    <w:p>
      <w:pPr>
        <w:keepNext w:val="0"/>
        <w:keepLines w:val="0"/>
        <w:pageBreakBefore w:val="0"/>
        <w:numPr>
          <w:ilvl w:val="0"/>
          <w:numId w:val="1"/>
        </w:numPr>
        <w:kinsoku/>
        <w:overflowPunct/>
        <w:topLinePunct w:val="0"/>
        <w:autoSpaceDE/>
        <w:autoSpaceDN/>
        <w:bidi w:val="0"/>
        <w:adjustRightInd/>
        <w:spacing w:beforeAutospacing="0" w:afterAutospacing="0" w:line="540" w:lineRule="exact"/>
        <w:ind w:left="719" w:leftChars="171" w:right="0" w:rightChars="0" w:hanging="360" w:hangingChars="100"/>
        <w:textAlignment w:val="auto"/>
        <w:outlineLvl w:val="2"/>
        <w:rPr>
          <w:rFonts w:hint="eastAsia" w:ascii="楷体" w:hAnsi="楷体" w:eastAsia="楷体" w:cs="楷体"/>
          <w:bCs/>
          <w:color w:val="000000"/>
          <w:sz w:val="36"/>
          <w:szCs w:val="36"/>
          <w:lang w:val="en-US" w:eastAsia="zh-CN"/>
        </w:rPr>
      </w:pPr>
      <w:r>
        <w:rPr>
          <w:rFonts w:hint="eastAsia" w:ascii="楷体" w:hAnsi="楷体" w:eastAsia="楷体" w:cs="楷体"/>
          <w:color w:val="000000"/>
          <w:sz w:val="36"/>
          <w:szCs w:val="36"/>
        </w:rPr>
        <w:t>关于市投资促进中心</w:t>
      </w:r>
      <w:r>
        <w:rPr>
          <w:rFonts w:hint="eastAsia" w:ascii="楷体" w:hAnsi="楷体" w:eastAsia="楷体" w:cs="楷体"/>
          <w:bCs/>
          <w:color w:val="000000"/>
          <w:sz w:val="36"/>
          <w:szCs w:val="36"/>
        </w:rPr>
        <w:t>202</w:t>
      </w:r>
      <w:r>
        <w:rPr>
          <w:rFonts w:hint="eastAsia" w:ascii="楷体" w:hAnsi="楷体" w:eastAsia="楷体" w:cs="楷体"/>
          <w:bCs/>
          <w:color w:val="000000"/>
          <w:sz w:val="36"/>
          <w:szCs w:val="36"/>
          <w:lang w:val="en-US" w:eastAsia="zh-CN"/>
        </w:rPr>
        <w:t>2</w:t>
      </w:r>
      <w:r>
        <w:rPr>
          <w:rFonts w:hint="eastAsia" w:ascii="楷体" w:hAnsi="楷体" w:eastAsia="楷体" w:cs="楷体"/>
          <w:bCs/>
          <w:color w:val="000000"/>
          <w:sz w:val="36"/>
          <w:szCs w:val="36"/>
        </w:rPr>
        <w:t>年收支预算情况的</w:t>
      </w:r>
      <w:r>
        <w:rPr>
          <w:rFonts w:hint="eastAsia" w:ascii="楷体" w:hAnsi="楷体" w:eastAsia="楷体" w:cs="楷体"/>
          <w:bCs/>
          <w:color w:val="000000"/>
          <w:sz w:val="36"/>
          <w:szCs w:val="36"/>
          <w:lang w:eastAsia="zh-CN"/>
        </w:rPr>
        <w:t>总</w:t>
      </w:r>
      <w:r>
        <w:rPr>
          <w:rFonts w:hint="eastAsia" w:ascii="楷体" w:hAnsi="楷体" w:eastAsia="楷体" w:cs="楷体"/>
          <w:bCs/>
          <w:color w:val="000000"/>
          <w:sz w:val="36"/>
          <w:szCs w:val="36"/>
        </w:rPr>
        <w:t>体说明</w:t>
      </w:r>
      <w:r>
        <w:rPr>
          <w:rFonts w:hint="eastAsia" w:ascii="楷体" w:hAnsi="楷体" w:eastAsia="楷体" w:cs="楷体"/>
          <w:bCs/>
          <w:color w:val="000000"/>
          <w:sz w:val="36"/>
          <w:szCs w:val="36"/>
          <w:lang w:val="en-US" w:eastAsia="zh-CN"/>
        </w:rPr>
        <w:t>...............................2</w:t>
      </w:r>
    </w:p>
    <w:p>
      <w:pPr>
        <w:keepNext w:val="0"/>
        <w:keepLines w:val="0"/>
        <w:pageBreakBefore w:val="0"/>
        <w:numPr>
          <w:ilvl w:val="0"/>
          <w:numId w:val="1"/>
        </w:numPr>
        <w:kinsoku/>
        <w:overflowPunct/>
        <w:topLinePunct w:val="0"/>
        <w:autoSpaceDE/>
        <w:autoSpaceDN/>
        <w:bidi w:val="0"/>
        <w:adjustRightInd/>
        <w:spacing w:beforeAutospacing="0" w:afterAutospacing="0" w:line="540" w:lineRule="exact"/>
        <w:ind w:left="719" w:leftChars="171" w:right="0" w:rightChars="0" w:hanging="360" w:hangingChars="100"/>
        <w:textAlignment w:val="auto"/>
        <w:outlineLvl w:val="2"/>
        <w:rPr>
          <w:rFonts w:hint="eastAsia" w:ascii="楷体" w:hAnsi="楷体" w:eastAsia="楷体" w:cs="楷体"/>
          <w:color w:val="000000"/>
          <w:sz w:val="36"/>
          <w:szCs w:val="36"/>
        </w:rPr>
      </w:pPr>
      <w:r>
        <w:rPr>
          <w:rFonts w:hint="eastAsia" w:ascii="楷体" w:hAnsi="楷体" w:eastAsia="楷体" w:cs="楷体"/>
          <w:color w:val="000000"/>
          <w:sz w:val="36"/>
          <w:szCs w:val="36"/>
        </w:rPr>
        <w:t>关于投资促进中心</w:t>
      </w:r>
      <w:r>
        <w:rPr>
          <w:rFonts w:hint="eastAsia" w:ascii="楷体" w:hAnsi="楷体" w:eastAsia="楷体" w:cs="楷体"/>
          <w:bCs/>
          <w:color w:val="000000"/>
          <w:sz w:val="36"/>
          <w:szCs w:val="36"/>
        </w:rPr>
        <w:t>202</w:t>
      </w:r>
      <w:r>
        <w:rPr>
          <w:rFonts w:hint="eastAsia" w:ascii="楷体" w:hAnsi="楷体" w:eastAsia="楷体" w:cs="楷体"/>
          <w:bCs/>
          <w:color w:val="000000"/>
          <w:sz w:val="36"/>
          <w:szCs w:val="36"/>
          <w:lang w:val="en-US" w:eastAsia="zh-CN"/>
        </w:rPr>
        <w:t>2</w:t>
      </w:r>
      <w:r>
        <w:rPr>
          <w:rFonts w:hint="eastAsia" w:ascii="楷体" w:hAnsi="楷体" w:eastAsia="楷体" w:cs="楷体"/>
          <w:bCs/>
          <w:color w:val="000000"/>
          <w:sz w:val="36"/>
          <w:szCs w:val="36"/>
        </w:rPr>
        <w:t>年</w:t>
      </w:r>
      <w:r>
        <w:rPr>
          <w:rFonts w:hint="eastAsia" w:ascii="楷体" w:hAnsi="楷体" w:eastAsia="楷体" w:cs="楷体"/>
          <w:color w:val="000000"/>
          <w:sz w:val="36"/>
          <w:szCs w:val="36"/>
        </w:rPr>
        <w:t>收入预算情况说明</w:t>
      </w:r>
      <w:r>
        <w:rPr>
          <w:rFonts w:hint="eastAsia" w:ascii="楷体" w:hAnsi="楷体" w:eastAsia="楷体" w:cs="楷体"/>
          <w:color w:val="000000"/>
          <w:sz w:val="36"/>
          <w:szCs w:val="36"/>
          <w:lang w:val="en-US" w:eastAsia="zh-CN"/>
        </w:rPr>
        <w:t>.......................................2</w:t>
      </w:r>
    </w:p>
    <w:p>
      <w:pPr>
        <w:keepNext w:val="0"/>
        <w:keepLines w:val="0"/>
        <w:pageBreakBefore w:val="0"/>
        <w:numPr>
          <w:ilvl w:val="0"/>
          <w:numId w:val="1"/>
        </w:numPr>
        <w:kinsoku/>
        <w:overflowPunct/>
        <w:topLinePunct w:val="0"/>
        <w:autoSpaceDE/>
        <w:autoSpaceDN/>
        <w:bidi w:val="0"/>
        <w:adjustRightInd/>
        <w:spacing w:beforeAutospacing="0" w:afterAutospacing="0" w:line="540" w:lineRule="exact"/>
        <w:ind w:left="719" w:leftChars="171" w:right="0" w:rightChars="0" w:hanging="360" w:hangingChars="100"/>
        <w:textAlignment w:val="auto"/>
        <w:outlineLvl w:val="2"/>
        <w:rPr>
          <w:rFonts w:hint="eastAsia" w:ascii="楷体" w:hAnsi="楷体" w:eastAsia="楷体" w:cs="楷体"/>
          <w:bCs/>
          <w:color w:val="000000"/>
          <w:sz w:val="36"/>
          <w:szCs w:val="36"/>
          <w:lang w:val="en-US" w:eastAsia="zh-CN"/>
        </w:rPr>
      </w:pPr>
      <w:r>
        <w:rPr>
          <w:rFonts w:hint="eastAsia" w:ascii="楷体" w:hAnsi="楷体" w:eastAsia="楷体" w:cs="楷体"/>
          <w:color w:val="000000"/>
          <w:sz w:val="36"/>
          <w:szCs w:val="36"/>
        </w:rPr>
        <w:t>关于投资促进中心</w:t>
      </w:r>
      <w:r>
        <w:rPr>
          <w:rFonts w:hint="eastAsia" w:ascii="楷体" w:hAnsi="楷体" w:eastAsia="楷体" w:cs="楷体"/>
          <w:bCs/>
          <w:color w:val="000000"/>
          <w:sz w:val="36"/>
          <w:szCs w:val="36"/>
        </w:rPr>
        <w:t>202</w:t>
      </w:r>
      <w:r>
        <w:rPr>
          <w:rFonts w:hint="eastAsia" w:ascii="楷体" w:hAnsi="楷体" w:eastAsia="楷体" w:cs="楷体"/>
          <w:bCs/>
          <w:color w:val="000000"/>
          <w:sz w:val="36"/>
          <w:szCs w:val="36"/>
          <w:lang w:val="en-US" w:eastAsia="zh-CN"/>
        </w:rPr>
        <w:t>2</w:t>
      </w:r>
      <w:r>
        <w:rPr>
          <w:rFonts w:hint="eastAsia" w:ascii="楷体" w:hAnsi="楷体" w:eastAsia="楷体" w:cs="楷体"/>
          <w:bCs/>
          <w:color w:val="000000"/>
          <w:sz w:val="36"/>
          <w:szCs w:val="36"/>
        </w:rPr>
        <w:t>年</w:t>
      </w:r>
      <w:r>
        <w:rPr>
          <w:rFonts w:hint="eastAsia" w:ascii="楷体" w:hAnsi="楷体" w:eastAsia="楷体" w:cs="楷体"/>
          <w:color w:val="000000"/>
          <w:sz w:val="36"/>
          <w:szCs w:val="36"/>
        </w:rPr>
        <w:t>支出预算情况说明</w:t>
      </w:r>
      <w:r>
        <w:rPr>
          <w:rFonts w:hint="eastAsia" w:ascii="楷体" w:hAnsi="楷体" w:eastAsia="楷体" w:cs="楷体"/>
          <w:color w:val="000000"/>
          <w:sz w:val="36"/>
          <w:szCs w:val="36"/>
          <w:lang w:val="en-US" w:eastAsia="zh-CN"/>
        </w:rPr>
        <w:t>.......................................3</w:t>
      </w:r>
    </w:p>
    <w:p>
      <w:pPr>
        <w:keepNext w:val="0"/>
        <w:keepLines w:val="0"/>
        <w:pageBreakBefore w:val="0"/>
        <w:kinsoku/>
        <w:overflowPunct/>
        <w:topLinePunct w:val="0"/>
        <w:autoSpaceDE/>
        <w:autoSpaceDN/>
        <w:bidi w:val="0"/>
        <w:adjustRightInd/>
        <w:spacing w:beforeAutospacing="0" w:afterAutospacing="0" w:line="540" w:lineRule="exact"/>
        <w:ind w:left="679" w:leftChars="152" w:right="0" w:rightChars="0" w:hanging="360" w:hangingChars="100"/>
        <w:textAlignment w:val="auto"/>
        <w:outlineLvl w:val="9"/>
        <w:rPr>
          <w:rFonts w:hint="eastAsia" w:ascii="楷体" w:hAnsi="楷体" w:eastAsia="楷体" w:cs="楷体"/>
          <w:sz w:val="36"/>
          <w:szCs w:val="36"/>
        </w:rPr>
      </w:pPr>
      <w:r>
        <w:rPr>
          <w:rFonts w:hint="eastAsia" w:ascii="楷体" w:hAnsi="楷体" w:eastAsia="楷体" w:cs="楷体"/>
          <w:color w:val="000000"/>
          <w:sz w:val="36"/>
          <w:szCs w:val="36"/>
          <w:lang w:eastAsia="zh-CN"/>
        </w:rPr>
        <w:t>（四）</w:t>
      </w:r>
      <w:r>
        <w:rPr>
          <w:rFonts w:hint="eastAsia" w:ascii="楷体" w:hAnsi="楷体" w:eastAsia="楷体" w:cs="楷体"/>
          <w:color w:val="000000"/>
          <w:sz w:val="36"/>
          <w:szCs w:val="36"/>
        </w:rPr>
        <w:t>关于投资促进中心</w:t>
      </w:r>
      <w:r>
        <w:rPr>
          <w:rFonts w:hint="eastAsia" w:ascii="楷体" w:hAnsi="楷体" w:eastAsia="楷体" w:cs="楷体"/>
          <w:bCs/>
          <w:color w:val="000000"/>
          <w:sz w:val="36"/>
          <w:szCs w:val="36"/>
        </w:rPr>
        <w:t>202</w:t>
      </w:r>
      <w:r>
        <w:rPr>
          <w:rFonts w:hint="eastAsia" w:ascii="楷体" w:hAnsi="楷体" w:eastAsia="楷体" w:cs="楷体"/>
          <w:bCs/>
          <w:color w:val="000000"/>
          <w:sz w:val="36"/>
          <w:szCs w:val="36"/>
          <w:lang w:val="en-US" w:eastAsia="zh-CN"/>
        </w:rPr>
        <w:t>2</w:t>
      </w:r>
      <w:r>
        <w:rPr>
          <w:rFonts w:hint="eastAsia" w:ascii="楷体" w:hAnsi="楷体" w:eastAsia="楷体" w:cs="楷体"/>
          <w:bCs/>
          <w:color w:val="000000"/>
          <w:sz w:val="36"/>
          <w:szCs w:val="36"/>
        </w:rPr>
        <w:t>年</w:t>
      </w:r>
      <w:r>
        <w:rPr>
          <w:rFonts w:hint="eastAsia" w:ascii="楷体" w:hAnsi="楷体" w:eastAsia="楷体" w:cs="楷体"/>
          <w:sz w:val="36"/>
          <w:szCs w:val="36"/>
        </w:rPr>
        <w:t>财政拨款收支预算情况的总体说明</w:t>
      </w:r>
      <w:r>
        <w:rPr>
          <w:rFonts w:hint="eastAsia" w:ascii="楷体" w:hAnsi="楷体" w:eastAsia="楷体" w:cs="楷体"/>
          <w:sz w:val="36"/>
          <w:szCs w:val="36"/>
          <w:lang w:val="en-US" w:eastAsia="zh-CN"/>
        </w:rPr>
        <w:t>...........................3</w:t>
      </w:r>
    </w:p>
    <w:p>
      <w:pPr>
        <w:keepNext w:val="0"/>
        <w:keepLines w:val="0"/>
        <w:pageBreakBefore w:val="0"/>
        <w:numPr>
          <w:ilvl w:val="0"/>
          <w:numId w:val="0"/>
        </w:numPr>
        <w:kinsoku/>
        <w:overflowPunct/>
        <w:topLinePunct w:val="0"/>
        <w:autoSpaceDE/>
        <w:autoSpaceDN/>
        <w:bidi w:val="0"/>
        <w:adjustRightInd/>
        <w:spacing w:beforeAutospacing="0" w:afterAutospacing="0" w:line="540" w:lineRule="exact"/>
        <w:ind w:left="780" w:leftChars="200" w:right="0" w:rightChars="0" w:hanging="360" w:hangingChars="100"/>
        <w:textAlignment w:val="auto"/>
        <w:outlineLvl w:val="9"/>
        <w:rPr>
          <w:rFonts w:hint="eastAsia" w:ascii="楷体" w:hAnsi="楷体" w:eastAsia="楷体" w:cs="楷体"/>
          <w:color w:val="000000"/>
          <w:sz w:val="36"/>
          <w:szCs w:val="36"/>
        </w:rPr>
      </w:pPr>
      <w:r>
        <w:rPr>
          <w:rFonts w:hint="eastAsia" w:ascii="楷体" w:hAnsi="楷体" w:eastAsia="楷体" w:cs="楷体"/>
          <w:color w:val="000000"/>
          <w:sz w:val="36"/>
          <w:szCs w:val="36"/>
          <w:lang w:eastAsia="zh-CN"/>
        </w:rPr>
        <w:t>（五）</w:t>
      </w:r>
      <w:r>
        <w:rPr>
          <w:rFonts w:hint="eastAsia" w:ascii="楷体" w:hAnsi="楷体" w:eastAsia="楷体" w:cs="楷体"/>
          <w:color w:val="000000"/>
          <w:sz w:val="36"/>
          <w:szCs w:val="36"/>
        </w:rPr>
        <w:t>关于投资促进中心</w:t>
      </w:r>
      <w:r>
        <w:rPr>
          <w:rFonts w:hint="eastAsia" w:ascii="楷体" w:hAnsi="楷体" w:eastAsia="楷体" w:cs="楷体"/>
          <w:bCs/>
          <w:color w:val="000000"/>
          <w:sz w:val="36"/>
          <w:szCs w:val="36"/>
        </w:rPr>
        <w:t>202</w:t>
      </w:r>
      <w:r>
        <w:rPr>
          <w:rFonts w:hint="eastAsia" w:ascii="楷体" w:hAnsi="楷体" w:eastAsia="楷体" w:cs="楷体"/>
          <w:bCs/>
          <w:color w:val="000000"/>
          <w:sz w:val="36"/>
          <w:szCs w:val="36"/>
          <w:lang w:val="en-US" w:eastAsia="zh-CN"/>
        </w:rPr>
        <w:t>2</w:t>
      </w:r>
      <w:r>
        <w:rPr>
          <w:rFonts w:hint="eastAsia" w:ascii="楷体" w:hAnsi="楷体" w:eastAsia="楷体" w:cs="楷体"/>
          <w:bCs/>
          <w:color w:val="000000"/>
          <w:sz w:val="36"/>
          <w:szCs w:val="36"/>
        </w:rPr>
        <w:t>年</w:t>
      </w:r>
      <w:r>
        <w:rPr>
          <w:rFonts w:hint="eastAsia" w:ascii="楷体" w:hAnsi="楷体" w:eastAsia="楷体" w:cs="楷体"/>
          <w:color w:val="000000"/>
          <w:sz w:val="36"/>
          <w:szCs w:val="36"/>
        </w:rPr>
        <w:t>一般公共预算当年拨款情况说明</w:t>
      </w:r>
      <w:r>
        <w:rPr>
          <w:rFonts w:hint="eastAsia" w:ascii="楷体" w:hAnsi="楷体" w:eastAsia="楷体" w:cs="楷体"/>
          <w:color w:val="000000"/>
          <w:sz w:val="36"/>
          <w:szCs w:val="36"/>
          <w:lang w:val="en-US" w:eastAsia="zh-CN"/>
        </w:rPr>
        <w:t>..........................3</w:t>
      </w:r>
    </w:p>
    <w:p>
      <w:pPr>
        <w:keepNext w:val="0"/>
        <w:keepLines w:val="0"/>
        <w:pageBreakBefore w:val="0"/>
        <w:kinsoku/>
        <w:overflowPunct/>
        <w:topLinePunct w:val="0"/>
        <w:autoSpaceDE/>
        <w:autoSpaceDN/>
        <w:bidi w:val="0"/>
        <w:adjustRightInd/>
        <w:spacing w:beforeAutospacing="0" w:afterAutospacing="0" w:line="540" w:lineRule="exact"/>
        <w:ind w:left="719" w:leftChars="171" w:right="0" w:rightChars="0" w:hanging="360" w:hangingChars="100"/>
        <w:textAlignment w:val="auto"/>
        <w:outlineLvl w:val="9"/>
        <w:rPr>
          <w:rFonts w:ascii="楷体_GB2312" w:hAnsi="楷体_GB2312" w:eastAsia="楷体_GB2312" w:cs="楷体_GB2312"/>
          <w:b/>
          <w:color w:val="000000"/>
          <w:sz w:val="36"/>
          <w:szCs w:val="36"/>
        </w:rPr>
      </w:pPr>
      <w:r>
        <w:rPr>
          <w:rFonts w:hint="eastAsia" w:ascii="楷体" w:hAnsi="楷体" w:eastAsia="楷体" w:cs="楷体_GB2312"/>
          <w:color w:val="000000"/>
          <w:sz w:val="36"/>
          <w:szCs w:val="36"/>
        </w:rPr>
        <w:t>（六）关于投资促进中心</w:t>
      </w:r>
      <w:r>
        <w:rPr>
          <w:rFonts w:hint="eastAsia" w:ascii="楷体" w:hAnsi="楷体" w:eastAsia="楷体"/>
          <w:bCs/>
          <w:color w:val="000000"/>
          <w:sz w:val="36"/>
          <w:szCs w:val="36"/>
        </w:rPr>
        <w:t>202</w:t>
      </w:r>
      <w:r>
        <w:rPr>
          <w:rFonts w:hint="eastAsia" w:ascii="楷体" w:hAnsi="楷体" w:eastAsia="楷体"/>
          <w:bCs/>
          <w:color w:val="000000"/>
          <w:sz w:val="36"/>
          <w:szCs w:val="36"/>
          <w:lang w:val="en-US" w:eastAsia="zh-CN"/>
        </w:rPr>
        <w:t>2</w:t>
      </w:r>
      <w:r>
        <w:rPr>
          <w:rFonts w:hint="eastAsia" w:ascii="楷体" w:hAnsi="楷体" w:eastAsia="楷体"/>
          <w:bCs/>
          <w:color w:val="000000"/>
          <w:sz w:val="36"/>
          <w:szCs w:val="36"/>
        </w:rPr>
        <w:t>年</w:t>
      </w:r>
      <w:r>
        <w:rPr>
          <w:rFonts w:hint="eastAsia" w:ascii="楷体" w:hAnsi="楷体" w:eastAsia="楷体" w:cs="楷体_GB2312"/>
          <w:color w:val="000000"/>
          <w:sz w:val="36"/>
          <w:szCs w:val="36"/>
        </w:rPr>
        <w:t>一般公共预算基本支出情况说明</w:t>
      </w:r>
      <w:r>
        <w:rPr>
          <w:rFonts w:hint="eastAsia" w:ascii="楷体" w:hAnsi="楷体" w:eastAsia="楷体" w:cs="楷体_GB2312"/>
          <w:color w:val="000000"/>
          <w:sz w:val="36"/>
          <w:szCs w:val="36"/>
          <w:lang w:val="en-US" w:eastAsia="zh-CN"/>
        </w:rPr>
        <w:t>.............................5</w:t>
      </w:r>
    </w:p>
    <w:p>
      <w:pPr>
        <w:keepNext w:val="0"/>
        <w:keepLines w:val="0"/>
        <w:pageBreakBefore w:val="0"/>
        <w:kinsoku/>
        <w:overflowPunct/>
        <w:topLinePunct w:val="0"/>
        <w:autoSpaceDE/>
        <w:autoSpaceDN/>
        <w:bidi w:val="0"/>
        <w:adjustRightInd/>
        <w:spacing w:beforeAutospacing="0" w:afterAutospacing="0" w:line="540" w:lineRule="exact"/>
        <w:ind w:left="719" w:leftChars="171" w:right="0" w:rightChars="0" w:hanging="360" w:hangingChars="100"/>
        <w:textAlignment w:val="auto"/>
        <w:outlineLvl w:val="9"/>
        <w:rPr>
          <w:rFonts w:hint="eastAsia" w:ascii="楷体" w:hAnsi="楷体" w:eastAsia="楷体" w:cs="楷体_GB2312"/>
          <w:color w:val="000000"/>
          <w:sz w:val="36"/>
          <w:szCs w:val="36"/>
          <w:lang w:val="en-US" w:eastAsia="zh-CN"/>
        </w:rPr>
      </w:pPr>
      <w:r>
        <w:rPr>
          <w:rFonts w:hint="eastAsia" w:ascii="楷体" w:hAnsi="楷体" w:eastAsia="楷体" w:cs="楷体_GB2312"/>
          <w:color w:val="000000"/>
          <w:sz w:val="36"/>
          <w:szCs w:val="36"/>
        </w:rPr>
        <w:t>（七）关于投资促进中心</w:t>
      </w:r>
      <w:r>
        <w:rPr>
          <w:rFonts w:hint="eastAsia" w:ascii="楷体" w:hAnsi="楷体" w:eastAsia="楷体"/>
          <w:bCs/>
          <w:color w:val="000000"/>
          <w:sz w:val="36"/>
          <w:szCs w:val="36"/>
        </w:rPr>
        <w:t>202</w:t>
      </w:r>
      <w:r>
        <w:rPr>
          <w:rFonts w:hint="eastAsia" w:ascii="楷体" w:hAnsi="楷体" w:eastAsia="楷体"/>
          <w:bCs/>
          <w:color w:val="000000"/>
          <w:sz w:val="36"/>
          <w:szCs w:val="36"/>
          <w:lang w:val="en-US" w:eastAsia="zh-CN"/>
        </w:rPr>
        <w:t>2</w:t>
      </w:r>
      <w:r>
        <w:rPr>
          <w:rFonts w:hint="eastAsia" w:ascii="楷体" w:hAnsi="楷体" w:eastAsia="楷体"/>
          <w:bCs/>
          <w:color w:val="000000"/>
          <w:sz w:val="36"/>
          <w:szCs w:val="36"/>
        </w:rPr>
        <w:t>年</w:t>
      </w:r>
      <w:r>
        <w:rPr>
          <w:rFonts w:hint="eastAsia" w:ascii="楷体" w:hAnsi="楷体" w:eastAsia="楷体" w:cs="楷体_GB2312"/>
          <w:color w:val="000000"/>
          <w:sz w:val="36"/>
          <w:szCs w:val="36"/>
        </w:rPr>
        <w:t>政府性基金预算支出情况说明</w:t>
      </w:r>
      <w:r>
        <w:rPr>
          <w:rFonts w:hint="eastAsia" w:ascii="楷体" w:hAnsi="楷体" w:eastAsia="楷体" w:cs="楷体_GB2312"/>
          <w:color w:val="000000"/>
          <w:sz w:val="36"/>
          <w:szCs w:val="36"/>
          <w:lang w:val="en-US" w:eastAsia="zh-CN"/>
        </w:rPr>
        <w:t>...............................5</w:t>
      </w:r>
    </w:p>
    <w:p>
      <w:pPr>
        <w:keepNext w:val="0"/>
        <w:keepLines w:val="0"/>
        <w:pageBreakBefore w:val="0"/>
        <w:kinsoku/>
        <w:overflowPunct/>
        <w:topLinePunct w:val="0"/>
        <w:autoSpaceDE/>
        <w:autoSpaceDN/>
        <w:bidi w:val="0"/>
        <w:adjustRightInd/>
        <w:spacing w:beforeAutospacing="0" w:afterAutospacing="0" w:line="540" w:lineRule="exact"/>
        <w:ind w:left="719" w:leftChars="171" w:right="0" w:rightChars="0" w:hanging="360" w:hangingChars="100"/>
        <w:textAlignment w:val="auto"/>
        <w:outlineLvl w:val="9"/>
        <w:rPr>
          <w:rFonts w:hint="eastAsia" w:ascii="楷体" w:hAnsi="楷体" w:eastAsia="楷体" w:cs="楷体_GB2312"/>
          <w:color w:val="000000"/>
          <w:sz w:val="36"/>
          <w:szCs w:val="36"/>
          <w:lang w:val="en-US" w:eastAsia="zh-CN"/>
        </w:rPr>
      </w:pPr>
      <w:r>
        <w:rPr>
          <w:rFonts w:hint="eastAsia" w:ascii="楷体" w:hAnsi="楷体" w:eastAsia="楷体" w:cs="楷体_GB2312"/>
          <w:color w:val="000000"/>
          <w:sz w:val="36"/>
          <w:szCs w:val="36"/>
        </w:rPr>
        <w:t>（八）关于投资促进中心</w:t>
      </w:r>
      <w:r>
        <w:rPr>
          <w:rFonts w:hint="eastAsia" w:ascii="楷体" w:hAnsi="楷体" w:eastAsia="楷体"/>
          <w:bCs/>
          <w:color w:val="000000"/>
          <w:sz w:val="36"/>
          <w:szCs w:val="36"/>
        </w:rPr>
        <w:t>202</w:t>
      </w:r>
      <w:r>
        <w:rPr>
          <w:rFonts w:hint="eastAsia" w:ascii="楷体" w:hAnsi="楷体" w:eastAsia="楷体"/>
          <w:bCs/>
          <w:color w:val="000000"/>
          <w:sz w:val="36"/>
          <w:szCs w:val="36"/>
          <w:lang w:val="en-US" w:eastAsia="zh-CN"/>
        </w:rPr>
        <w:t>2</w:t>
      </w:r>
      <w:r>
        <w:rPr>
          <w:rFonts w:hint="eastAsia" w:ascii="楷体" w:hAnsi="楷体" w:eastAsia="楷体"/>
          <w:bCs/>
          <w:color w:val="000000"/>
          <w:sz w:val="36"/>
          <w:szCs w:val="36"/>
        </w:rPr>
        <w:t>年</w:t>
      </w:r>
      <w:r>
        <w:rPr>
          <w:rFonts w:hint="eastAsia" w:ascii="楷体" w:hAnsi="楷体" w:eastAsia="楷体" w:cs="楷体_GB2312"/>
          <w:color w:val="000000"/>
          <w:sz w:val="36"/>
          <w:szCs w:val="36"/>
        </w:rPr>
        <w:t>一般公共预算“三公”经费预算情况说明</w:t>
      </w:r>
      <w:r>
        <w:rPr>
          <w:rFonts w:hint="eastAsia" w:ascii="楷体" w:hAnsi="楷体" w:eastAsia="楷体" w:cs="楷体_GB2312"/>
          <w:color w:val="000000"/>
          <w:sz w:val="36"/>
          <w:szCs w:val="36"/>
          <w:lang w:val="en-US" w:eastAsia="zh-CN"/>
        </w:rPr>
        <w:t>.....................5</w:t>
      </w:r>
    </w:p>
    <w:p>
      <w:pPr>
        <w:keepNext w:val="0"/>
        <w:keepLines w:val="0"/>
        <w:pageBreakBefore w:val="0"/>
        <w:kinsoku/>
        <w:overflowPunct/>
        <w:topLinePunct w:val="0"/>
        <w:autoSpaceDE/>
        <w:autoSpaceDN/>
        <w:bidi w:val="0"/>
        <w:adjustRightInd/>
        <w:spacing w:beforeAutospacing="0" w:afterAutospacing="0" w:line="540" w:lineRule="exact"/>
        <w:ind w:right="0" w:rightChars="0" w:firstLine="360" w:firstLineChars="100"/>
        <w:textAlignment w:val="auto"/>
        <w:outlineLvl w:val="9"/>
        <w:rPr>
          <w:rFonts w:hint="eastAsia" w:ascii="楷体" w:hAnsi="楷体" w:eastAsia="楷体" w:cs="楷体_GB2312"/>
          <w:color w:val="000000"/>
          <w:sz w:val="36"/>
          <w:szCs w:val="36"/>
          <w:lang w:val="en-US" w:eastAsia="zh-CN"/>
        </w:rPr>
      </w:pPr>
      <w:r>
        <w:rPr>
          <w:rFonts w:hint="eastAsia" w:ascii="楷体" w:hAnsi="楷体" w:eastAsia="楷体" w:cs="楷体_GB2312"/>
          <w:color w:val="000000"/>
          <w:sz w:val="36"/>
          <w:szCs w:val="36"/>
        </w:rPr>
        <w:t>（九）其他重要事项的情况说明</w:t>
      </w:r>
      <w:r>
        <w:rPr>
          <w:rFonts w:hint="eastAsia" w:ascii="楷体" w:hAnsi="楷体" w:eastAsia="楷体" w:cs="楷体_GB2312"/>
          <w:color w:val="000000"/>
          <w:sz w:val="36"/>
          <w:szCs w:val="36"/>
          <w:lang w:val="en-US" w:eastAsia="zh-CN"/>
        </w:rPr>
        <w:t>...............6</w:t>
      </w: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right="0" w:rightChars="0"/>
        <w:textAlignment w:val="auto"/>
        <w:outlineLvl w:val="9"/>
        <w:rPr>
          <w:rStyle w:val="9"/>
          <w:rFonts w:hint="eastAsia" w:ascii="黑体" w:hAnsi="黑体" w:eastAsia="黑体" w:cs="黑体"/>
          <w:b w:val="0"/>
          <w:lang w:val="en-US" w:eastAsia="zh-CN"/>
        </w:rPr>
      </w:pPr>
      <w:r>
        <w:rPr>
          <w:rStyle w:val="9"/>
          <w:rFonts w:hint="eastAsia" w:ascii="黑体" w:hAnsi="黑体" w:eastAsia="黑体" w:cs="黑体"/>
          <w:b w:val="0"/>
        </w:rPr>
        <w:t>三、名词解释</w:t>
      </w:r>
      <w:r>
        <w:rPr>
          <w:rStyle w:val="9"/>
          <w:rFonts w:hint="eastAsia" w:ascii="黑体" w:hAnsi="黑体" w:eastAsia="黑体" w:cs="黑体"/>
          <w:b w:val="0"/>
          <w:lang w:val="en-US" w:eastAsia="zh-CN"/>
        </w:rPr>
        <w:t>...................................7</w:t>
      </w: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right="0" w:rightChars="0"/>
        <w:textAlignment w:val="auto"/>
        <w:outlineLvl w:val="9"/>
        <w:rPr>
          <w:rStyle w:val="9"/>
          <w:rFonts w:hint="eastAsia" w:ascii="黑体" w:hAnsi="黑体" w:eastAsia="黑体" w:cs="黑体"/>
          <w:b w:val="0"/>
          <w:lang w:val="en-US" w:eastAsia="zh-CN"/>
        </w:rPr>
      </w:pPr>
      <w:r>
        <w:rPr>
          <w:rStyle w:val="9"/>
          <w:rFonts w:hint="eastAsia" w:ascii="黑体" w:hAnsi="黑体" w:eastAsia="黑体" w:cs="黑体"/>
          <w:b w:val="0"/>
          <w:lang w:val="en-US" w:eastAsia="zh-CN"/>
        </w:rPr>
        <w:t>四、2022年金华市投资促进中心部门预算表........9</w:t>
      </w: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right="0" w:rightChars="0" w:firstLine="640" w:firstLineChars="200"/>
        <w:textAlignment w:val="auto"/>
        <w:outlineLvl w:val="9"/>
        <w:rPr>
          <w:rStyle w:val="9"/>
          <w:rFonts w:hint="eastAsia" w:ascii="黑体" w:hAnsi="黑体" w:eastAsia="黑体" w:cs="黑体"/>
          <w:b w:val="0"/>
          <w:lang w:val="en-US" w:eastAsia="zh-CN"/>
        </w:rPr>
      </w:pPr>
      <w:r>
        <w:rPr>
          <w:rStyle w:val="9"/>
          <w:rFonts w:hint="eastAsia" w:ascii="黑体" w:hAnsi="黑体" w:eastAsia="黑体" w:cs="黑体"/>
          <w:b w:val="0"/>
          <w:lang w:val="en-US" w:eastAsia="zh-CN"/>
        </w:rPr>
        <w:t>2022年部门收支预算总表...................10</w:t>
      </w: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right="0" w:rightChars="0" w:firstLine="960" w:firstLineChars="300"/>
        <w:textAlignment w:val="auto"/>
        <w:outlineLvl w:val="9"/>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2022年部门收入预算总表...................11</w:t>
      </w: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right="0" w:rightChars="0" w:firstLine="960" w:firstLineChars="300"/>
        <w:textAlignment w:val="auto"/>
        <w:outlineLvl w:val="9"/>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2022年部门支出预算总表...................12</w:t>
      </w: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right="0" w:rightChars="0" w:firstLine="960" w:firstLineChars="300"/>
        <w:textAlignment w:val="auto"/>
        <w:outlineLvl w:val="9"/>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2022年部门财政拨款收支预算总表...........13</w:t>
      </w: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right="0" w:rightChars="0" w:firstLine="960" w:firstLineChars="300"/>
        <w:textAlignment w:val="auto"/>
        <w:outlineLvl w:val="9"/>
        <w:rPr>
          <w:rStyle w:val="9"/>
          <w:rFonts w:hint="eastAsia" w:ascii="黑体" w:hAnsi="黑体" w:eastAsia="黑体" w:cs="黑体"/>
          <w:b w:val="0"/>
          <w:sz w:val="32"/>
          <w:szCs w:val="32"/>
          <w:lang w:val="en-US" w:eastAsia="zh-CN"/>
        </w:rPr>
      </w:pPr>
      <w:r>
        <w:rPr>
          <w:rStyle w:val="9"/>
          <w:rFonts w:hint="eastAsia" w:ascii="黑体" w:hAnsi="黑体" w:eastAsia="黑体" w:cs="黑体"/>
          <w:b w:val="0"/>
          <w:sz w:val="32"/>
          <w:szCs w:val="32"/>
          <w:lang w:val="en-US" w:eastAsia="zh-CN"/>
        </w:rPr>
        <w:t>2022年部门一般公共预算支出表.............14</w:t>
      </w:r>
    </w:p>
    <w:p>
      <w:pPr>
        <w:keepNext w:val="0"/>
        <w:keepLines w:val="0"/>
        <w:pageBreakBefore w:val="0"/>
        <w:kinsoku/>
        <w:overflowPunct/>
        <w:topLinePunct w:val="0"/>
        <w:autoSpaceDE/>
        <w:autoSpaceDN/>
        <w:bidi w:val="0"/>
        <w:adjustRightInd/>
        <w:spacing w:beforeAutospacing="0" w:afterAutospacing="0" w:line="540" w:lineRule="exact"/>
        <w:ind w:right="0" w:rightChars="0" w:firstLine="960" w:firstLineChars="300"/>
        <w:textAlignment w:val="auto"/>
        <w:outlineLvl w:val="9"/>
        <w:rPr>
          <w:rStyle w:val="9"/>
          <w:rFonts w:hint="eastAsia" w:ascii="黑体" w:hAnsi="黑体" w:eastAsia="黑体" w:cs="黑体"/>
          <w:b w:val="0"/>
          <w:color w:val="000000"/>
          <w:sz w:val="32"/>
          <w:szCs w:val="32"/>
        </w:rPr>
      </w:pPr>
      <w:r>
        <w:rPr>
          <w:rFonts w:hint="eastAsia" w:ascii="黑体" w:hAnsi="黑体" w:eastAsia="黑体" w:cs="黑体"/>
          <w:i w:val="0"/>
          <w:color w:val="000000"/>
          <w:kern w:val="0"/>
          <w:sz w:val="32"/>
          <w:szCs w:val="32"/>
          <w:u w:val="none"/>
          <w:lang w:val="en-US" w:eastAsia="zh-CN" w:bidi="ar"/>
        </w:rPr>
        <w:t>2022年部门一般公共预算基本支出表.........15</w:t>
      </w:r>
    </w:p>
    <w:p>
      <w:pPr>
        <w:keepNext w:val="0"/>
        <w:keepLines w:val="0"/>
        <w:pageBreakBefore w:val="0"/>
        <w:kinsoku/>
        <w:overflowPunct/>
        <w:topLinePunct w:val="0"/>
        <w:autoSpaceDE/>
        <w:autoSpaceDN/>
        <w:bidi w:val="0"/>
        <w:adjustRightInd/>
        <w:spacing w:beforeAutospacing="0" w:afterAutospacing="0" w:line="540" w:lineRule="exact"/>
        <w:ind w:right="0" w:rightChars="0" w:firstLine="960" w:firstLineChars="300"/>
        <w:textAlignment w:val="auto"/>
        <w:outlineLvl w:val="9"/>
        <w:rPr>
          <w:rStyle w:val="9"/>
          <w:rFonts w:hint="eastAsia" w:ascii="黑体" w:hAnsi="黑体" w:eastAsia="黑体" w:cs="黑体"/>
          <w:b w:val="0"/>
          <w:color w:val="000000"/>
          <w:sz w:val="32"/>
          <w:szCs w:val="32"/>
        </w:rPr>
      </w:pPr>
      <w:r>
        <w:rPr>
          <w:rFonts w:hint="eastAsia" w:ascii="黑体" w:hAnsi="黑体" w:eastAsia="黑体" w:cs="黑体"/>
          <w:i w:val="0"/>
          <w:color w:val="000000"/>
          <w:kern w:val="0"/>
          <w:sz w:val="32"/>
          <w:szCs w:val="32"/>
          <w:u w:val="none"/>
          <w:lang w:val="en-US" w:eastAsia="zh-CN" w:bidi="ar"/>
        </w:rPr>
        <w:t>2022年部门一般公共预算"三公"经费支出表...17</w:t>
      </w:r>
    </w:p>
    <w:p>
      <w:pPr>
        <w:keepNext w:val="0"/>
        <w:keepLines w:val="0"/>
        <w:pageBreakBefore w:val="0"/>
        <w:kinsoku/>
        <w:overflowPunct/>
        <w:topLinePunct w:val="0"/>
        <w:autoSpaceDE/>
        <w:autoSpaceDN/>
        <w:bidi w:val="0"/>
        <w:adjustRightInd/>
        <w:spacing w:beforeAutospacing="0" w:afterAutospacing="0" w:line="540" w:lineRule="exact"/>
        <w:ind w:right="0" w:rightChars="0" w:firstLine="960" w:firstLineChars="300"/>
        <w:textAlignment w:val="auto"/>
        <w:outlineLvl w:val="9"/>
        <w:rPr>
          <w:rStyle w:val="9"/>
          <w:rFonts w:hint="eastAsia" w:ascii="黑体" w:eastAsia="黑体"/>
          <w:b w:val="0"/>
          <w:color w:val="000000"/>
        </w:rPr>
      </w:pPr>
      <w:r>
        <w:rPr>
          <w:rStyle w:val="9"/>
          <w:rFonts w:hint="eastAsia" w:ascii="黑体" w:eastAsia="黑体"/>
          <w:b w:val="0"/>
          <w:color w:val="000000"/>
        </w:rPr>
        <w:t>2022年部门政府性基金预算支出表</w:t>
      </w:r>
      <w:r>
        <w:rPr>
          <w:rStyle w:val="9"/>
          <w:rFonts w:hint="eastAsia" w:ascii="黑体" w:eastAsia="黑体"/>
          <w:b w:val="0"/>
          <w:color w:val="000000"/>
          <w:lang w:val="en-US" w:eastAsia="zh-CN"/>
        </w:rPr>
        <w:t>...........18</w:t>
      </w:r>
    </w:p>
    <w:p>
      <w:pPr>
        <w:keepNext w:val="0"/>
        <w:keepLines w:val="0"/>
        <w:pageBreakBefore w:val="0"/>
        <w:kinsoku/>
        <w:overflowPunct/>
        <w:topLinePunct w:val="0"/>
        <w:autoSpaceDE/>
        <w:autoSpaceDN/>
        <w:bidi w:val="0"/>
        <w:adjustRightInd/>
        <w:spacing w:beforeAutospacing="0" w:afterAutospacing="0" w:line="540" w:lineRule="exact"/>
        <w:ind w:right="0" w:rightChars="0" w:firstLine="960" w:firstLineChars="300"/>
        <w:textAlignment w:val="auto"/>
        <w:outlineLvl w:val="9"/>
        <w:rPr>
          <w:rStyle w:val="9"/>
          <w:rFonts w:hint="eastAsia" w:ascii="黑体" w:hAnsi="黑体" w:eastAsia="黑体" w:cs="黑体"/>
          <w:b w:val="0"/>
          <w:color w:val="000000"/>
          <w:sz w:val="32"/>
          <w:szCs w:val="32"/>
        </w:rPr>
      </w:pPr>
      <w:r>
        <w:rPr>
          <w:rFonts w:hint="eastAsia" w:ascii="黑体" w:hAnsi="黑体" w:eastAsia="黑体" w:cs="黑体"/>
          <w:i w:val="0"/>
          <w:color w:val="000000"/>
          <w:kern w:val="0"/>
          <w:sz w:val="32"/>
          <w:szCs w:val="32"/>
          <w:u w:val="none"/>
          <w:lang w:val="en-US" w:eastAsia="zh-CN" w:bidi="ar"/>
        </w:rPr>
        <w:t>2022年部门国有资本经营预算支出表.........19</w:t>
      </w:r>
    </w:p>
    <w:p>
      <w:pPr>
        <w:keepNext w:val="0"/>
        <w:keepLines w:val="0"/>
        <w:pageBreakBefore w:val="0"/>
        <w:kinsoku/>
        <w:overflowPunct/>
        <w:topLinePunct w:val="0"/>
        <w:autoSpaceDE/>
        <w:autoSpaceDN/>
        <w:bidi w:val="0"/>
        <w:adjustRightInd/>
        <w:spacing w:beforeAutospacing="0" w:afterAutospacing="0" w:line="540" w:lineRule="exact"/>
        <w:ind w:right="0" w:rightChars="0" w:firstLine="960" w:firstLineChars="300"/>
        <w:textAlignment w:val="auto"/>
        <w:outlineLvl w:val="9"/>
        <w:rPr>
          <w:rStyle w:val="9"/>
          <w:rFonts w:hint="eastAsia" w:ascii="黑体" w:eastAsia="黑体"/>
          <w:b w:val="0"/>
          <w:color w:val="000000"/>
        </w:rPr>
      </w:pPr>
      <w:r>
        <w:rPr>
          <w:rStyle w:val="9"/>
          <w:rFonts w:hint="eastAsia" w:ascii="黑体" w:eastAsia="黑体"/>
          <w:b w:val="0"/>
          <w:color w:val="000000"/>
        </w:rPr>
        <w:t>2022年部门项目支出预算表</w:t>
      </w:r>
      <w:r>
        <w:rPr>
          <w:rStyle w:val="9"/>
          <w:rFonts w:hint="eastAsia" w:ascii="黑体" w:eastAsia="黑体"/>
          <w:b w:val="0"/>
          <w:color w:val="000000"/>
          <w:lang w:val="en-US" w:eastAsia="zh-CN"/>
        </w:rPr>
        <w:t>.................20</w:t>
      </w:r>
    </w:p>
    <w:p>
      <w:pPr>
        <w:keepNext w:val="0"/>
        <w:keepLines w:val="0"/>
        <w:pageBreakBefore w:val="0"/>
        <w:kinsoku/>
        <w:overflowPunct/>
        <w:topLinePunct w:val="0"/>
        <w:autoSpaceDE/>
        <w:autoSpaceDN/>
        <w:bidi w:val="0"/>
        <w:adjustRightInd/>
        <w:spacing w:beforeAutospacing="0" w:afterAutospacing="0" w:line="540" w:lineRule="exact"/>
        <w:ind w:right="0" w:rightChars="0" w:firstLine="960" w:firstLineChars="300"/>
        <w:textAlignment w:val="auto"/>
        <w:outlineLvl w:val="9"/>
        <w:rPr>
          <w:rStyle w:val="9"/>
          <w:rFonts w:hint="eastAsia" w:ascii="黑体" w:hAnsi="黑体" w:eastAsia="黑体" w:cs="黑体"/>
          <w:b w:val="0"/>
          <w:color w:val="000000"/>
          <w:sz w:val="32"/>
          <w:szCs w:val="32"/>
        </w:rPr>
      </w:pPr>
      <w:bookmarkStart w:id="0" w:name="_GoBack"/>
      <w:bookmarkEnd w:id="0"/>
      <w:r>
        <w:rPr>
          <w:rFonts w:hint="eastAsia" w:ascii="黑体" w:hAnsi="黑体" w:eastAsia="黑体" w:cs="黑体"/>
          <w:i w:val="0"/>
          <w:color w:val="000000"/>
          <w:kern w:val="0"/>
          <w:sz w:val="32"/>
          <w:szCs w:val="32"/>
          <w:u w:val="none"/>
          <w:lang w:val="en-US" w:eastAsia="zh-CN" w:bidi="ar"/>
        </w:rPr>
        <w:t>2022年部门预算财政拨款重点项目支出预算表.21</w:t>
      </w: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27" w:firstLineChars="196"/>
        <w:textAlignment w:val="auto"/>
        <w:outlineLvl w:val="9"/>
        <w:rPr>
          <w:rStyle w:val="9"/>
          <w:rFonts w:hint="eastAsia" w:ascii="黑体" w:eastAsia="黑体"/>
          <w:b w:val="0"/>
          <w:color w:val="000000"/>
        </w:rPr>
      </w:pP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27" w:firstLineChars="196"/>
        <w:textAlignment w:val="auto"/>
        <w:outlineLvl w:val="9"/>
        <w:rPr>
          <w:rStyle w:val="9"/>
          <w:rFonts w:hint="eastAsia" w:ascii="黑体" w:eastAsia="黑体"/>
          <w:b w:val="0"/>
          <w:color w:val="000000"/>
        </w:rPr>
      </w:pPr>
    </w:p>
    <w:p>
      <w:pPr>
        <w:keepNext w:val="0"/>
        <w:keepLines w:val="0"/>
        <w:pageBreakBefore w:val="0"/>
        <w:kinsoku/>
        <w:overflowPunct/>
        <w:topLinePunct w:val="0"/>
        <w:autoSpaceDE/>
        <w:autoSpaceDN/>
        <w:bidi w:val="0"/>
        <w:adjustRightInd/>
        <w:spacing w:beforeAutospacing="0" w:afterAutospacing="0" w:line="540" w:lineRule="exact"/>
        <w:ind w:right="0" w:rightChars="0"/>
        <w:textAlignment w:val="auto"/>
        <w:outlineLvl w:val="9"/>
        <w:rPr>
          <w:rStyle w:val="9"/>
          <w:rFonts w:hint="eastAsia" w:ascii="黑体" w:eastAsia="黑体"/>
          <w:b w:val="0"/>
          <w:color w:val="000000"/>
        </w:rPr>
      </w:pPr>
    </w:p>
    <w:p>
      <w:pPr>
        <w:keepNext w:val="0"/>
        <w:keepLines w:val="0"/>
        <w:pageBreakBefore w:val="0"/>
        <w:kinsoku/>
        <w:overflowPunct/>
        <w:topLinePunct w:val="0"/>
        <w:autoSpaceDE/>
        <w:autoSpaceDN/>
        <w:bidi w:val="0"/>
        <w:adjustRightInd/>
        <w:spacing w:beforeAutospacing="0" w:afterAutospacing="0" w:line="540" w:lineRule="exact"/>
        <w:ind w:right="0" w:rightChars="0"/>
        <w:textAlignment w:val="auto"/>
        <w:outlineLvl w:val="9"/>
        <w:rPr>
          <w:rStyle w:val="9"/>
          <w:rFonts w:hint="eastAsia" w:ascii="黑体" w:eastAsia="黑体"/>
          <w:b w:val="0"/>
          <w:color w:val="000000"/>
        </w:rPr>
        <w:sectPr>
          <w:footerReference r:id="rId5" w:type="default"/>
          <w:pgSz w:w="11906" w:h="16838"/>
          <w:pgMar w:top="1440" w:right="1800" w:bottom="1440" w:left="1800" w:header="851" w:footer="992" w:gutter="0"/>
          <w:pgNumType w:fmt="decimalFullWidth"/>
          <w:cols w:space="425" w:num="1"/>
          <w:docGrid w:type="lines" w:linePitch="312" w:charSpace="0"/>
        </w:sectPr>
      </w:pPr>
    </w:p>
    <w:p>
      <w:pPr>
        <w:keepNext w:val="0"/>
        <w:keepLines w:val="0"/>
        <w:pageBreakBefore w:val="0"/>
        <w:kinsoku/>
        <w:overflowPunct/>
        <w:topLinePunct w:val="0"/>
        <w:autoSpaceDE/>
        <w:autoSpaceDN/>
        <w:bidi w:val="0"/>
        <w:adjustRightInd/>
        <w:spacing w:beforeAutospacing="0" w:afterAutospacing="0" w:line="540" w:lineRule="exact"/>
        <w:ind w:right="0" w:rightChars="0"/>
        <w:textAlignment w:val="auto"/>
        <w:outlineLvl w:val="9"/>
        <w:rPr>
          <w:rStyle w:val="9"/>
          <w:rFonts w:ascii="黑体" w:eastAsia="黑体"/>
          <w:b w:val="0"/>
          <w:color w:val="000000"/>
        </w:rPr>
      </w:pPr>
      <w:r>
        <w:rPr>
          <w:rStyle w:val="9"/>
          <w:rFonts w:hint="eastAsia" w:ascii="黑体" w:eastAsia="黑体"/>
          <w:b w:val="0"/>
          <w:color w:val="000000"/>
        </w:rPr>
        <w:t>一、金华市投资促进中心概况</w:t>
      </w: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27" w:firstLineChars="196"/>
        <w:textAlignment w:val="auto"/>
        <w:outlineLvl w:val="9"/>
        <w:rPr>
          <w:rFonts w:ascii="楷体" w:hAnsi="楷体" w:eastAsia="楷体" w:cs="楷体_GB2312"/>
          <w:color w:val="000000"/>
          <w:sz w:val="32"/>
          <w:szCs w:val="32"/>
        </w:rPr>
      </w:pPr>
      <w:r>
        <w:rPr>
          <w:rFonts w:hint="eastAsia" w:ascii="楷体" w:hAnsi="楷体" w:eastAsia="楷体" w:cs="楷体_GB2312"/>
          <w:color w:val="000000"/>
          <w:sz w:val="32"/>
          <w:szCs w:val="32"/>
        </w:rPr>
        <w:t>（一）主要职能</w:t>
      </w:r>
    </w:p>
    <w:p>
      <w:pPr>
        <w:pStyle w:val="7"/>
        <w:keepNext w:val="0"/>
        <w:keepLines w:val="0"/>
        <w:pageBreakBefore w:val="0"/>
        <w:kinsoku/>
        <w:overflowPunct/>
        <w:topLinePunct w:val="0"/>
        <w:autoSpaceDE/>
        <w:autoSpaceDN/>
        <w:bidi w:val="0"/>
        <w:adjustRightInd/>
        <w:spacing w:before="0" w:beforeAutospacing="0" w:after="0" w:afterAutospacing="0" w:line="540" w:lineRule="exact"/>
        <w:ind w:left="0" w:leftChars="0" w:right="0" w:rightChars="0" w:firstLine="640" w:firstLineChars="200"/>
        <w:textAlignment w:val="auto"/>
        <w:outlineLvl w:val="9"/>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1</w:t>
      </w:r>
      <w:r>
        <w:rPr>
          <w:rFonts w:hint="eastAsia" w:ascii="仿宋" w:hAnsi="仿宋" w:eastAsia="仿宋" w:cs="仿宋"/>
          <w:kern w:val="0"/>
          <w:sz w:val="32"/>
          <w:szCs w:val="32"/>
          <w:lang w:val="en-US" w:eastAsia="zh-CN" w:bidi="ar-SA"/>
        </w:rPr>
        <w:t>.受委托起草全市投资促进、招商引资的实施办法和实施细则，经市</w:t>
      </w:r>
      <w:r>
        <w:rPr>
          <w:rFonts w:hint="eastAsia" w:ascii="仿宋" w:hAnsi="仿宋" w:eastAsia="仿宋" w:cs="仿宋"/>
          <w:color w:val="000000" w:themeColor="text1"/>
          <w:sz w:val="32"/>
          <w:szCs w:val="32"/>
        </w:rPr>
        <w:t>委、市政府审议通过后组织实施。</w:t>
      </w:r>
    </w:p>
    <w:p>
      <w:pPr>
        <w:pStyle w:val="7"/>
        <w:keepNext w:val="0"/>
        <w:keepLines w:val="0"/>
        <w:pageBreakBefore w:val="0"/>
        <w:kinsoku/>
        <w:overflowPunct/>
        <w:topLinePunct w:val="0"/>
        <w:autoSpaceDE/>
        <w:autoSpaceDN/>
        <w:bidi w:val="0"/>
        <w:adjustRightInd/>
        <w:spacing w:before="0" w:beforeAutospacing="0" w:after="0" w:afterAutospacing="0" w:line="540" w:lineRule="exact"/>
        <w:ind w:left="0" w:leftChars="0" w:right="0" w:rightChars="0" w:firstLine="640" w:firstLineChars="200"/>
        <w:textAlignment w:val="auto"/>
        <w:outlineLvl w:val="9"/>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2.拟订全市投资促进、招商引资的发展战略和中长期规划，制定年度计划并组织实施。参与制定全市产业政策。参与研究全市重点产业、新兴产业投资促进趋势，并提出相关对策建议。</w:t>
      </w:r>
    </w:p>
    <w:p>
      <w:pPr>
        <w:pStyle w:val="7"/>
        <w:keepNext w:val="0"/>
        <w:keepLines w:val="0"/>
        <w:pageBreakBefore w:val="0"/>
        <w:kinsoku/>
        <w:overflowPunct/>
        <w:topLinePunct w:val="0"/>
        <w:autoSpaceDE/>
        <w:autoSpaceDN/>
        <w:bidi w:val="0"/>
        <w:adjustRightInd/>
        <w:spacing w:before="0" w:beforeAutospacing="0" w:after="0" w:afterAutospacing="0" w:line="540" w:lineRule="exact"/>
        <w:ind w:left="0" w:leftChars="0" w:right="0" w:rightChars="0" w:firstLine="640" w:firstLineChars="200"/>
        <w:textAlignment w:val="auto"/>
        <w:outlineLvl w:val="9"/>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3.统筹协调和指导全市投资促进、招商引资工作, 牵头开展支持浙（婺）商创业创新工作。组织协调全市产业招商工作。负责全市重点区域、重点产业和重大招商引资项目的跟踪和服务，会同有关部门做好项目推进工作。指导各县（市、区）、各开发区和各大产业平台的投资促进工作。</w:t>
      </w:r>
    </w:p>
    <w:p>
      <w:pPr>
        <w:pStyle w:val="7"/>
        <w:keepNext w:val="0"/>
        <w:keepLines w:val="0"/>
        <w:pageBreakBefore w:val="0"/>
        <w:kinsoku/>
        <w:overflowPunct/>
        <w:topLinePunct w:val="0"/>
        <w:autoSpaceDE/>
        <w:autoSpaceDN/>
        <w:bidi w:val="0"/>
        <w:adjustRightInd/>
        <w:spacing w:before="0" w:beforeAutospacing="0" w:after="0" w:afterAutospacing="0" w:line="540" w:lineRule="exact"/>
        <w:ind w:left="0" w:leftChars="0" w:right="0" w:rightChars="0" w:firstLine="640" w:firstLineChars="200"/>
        <w:textAlignment w:val="auto"/>
        <w:outlineLvl w:val="9"/>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4.负责全市投资环境的整体宣传工作，组织开展境内外投资推广活动。</w:t>
      </w:r>
    </w:p>
    <w:p>
      <w:pPr>
        <w:pStyle w:val="7"/>
        <w:keepNext w:val="0"/>
        <w:keepLines w:val="0"/>
        <w:pageBreakBefore w:val="0"/>
        <w:kinsoku/>
        <w:overflowPunct/>
        <w:topLinePunct w:val="0"/>
        <w:autoSpaceDE/>
        <w:autoSpaceDN/>
        <w:bidi w:val="0"/>
        <w:adjustRightInd/>
        <w:spacing w:before="0" w:beforeAutospacing="0" w:after="0" w:afterAutospacing="0" w:line="540" w:lineRule="exact"/>
        <w:ind w:left="0" w:leftChars="0" w:right="0" w:rightChars="0" w:firstLine="640" w:firstLineChars="200"/>
        <w:textAlignment w:val="auto"/>
        <w:outlineLvl w:val="9"/>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5.负责全市招商引资信息的收集、筛选、发布和服务。负责招商引资信息化建设。</w:t>
      </w:r>
    </w:p>
    <w:p>
      <w:pPr>
        <w:pStyle w:val="7"/>
        <w:keepNext w:val="0"/>
        <w:keepLines w:val="0"/>
        <w:pageBreakBefore w:val="0"/>
        <w:kinsoku/>
        <w:overflowPunct/>
        <w:topLinePunct w:val="0"/>
        <w:autoSpaceDE/>
        <w:autoSpaceDN/>
        <w:bidi w:val="0"/>
        <w:adjustRightInd/>
        <w:spacing w:before="0" w:beforeAutospacing="0" w:after="0" w:afterAutospacing="0" w:line="540" w:lineRule="exact"/>
        <w:ind w:left="0" w:leftChars="0" w:right="0" w:rightChars="0" w:firstLine="640" w:firstLineChars="200"/>
        <w:textAlignment w:val="auto"/>
        <w:outlineLvl w:val="9"/>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6.负责境内外投资者及各类投资促进机构的服务、联络工作，组织开展投资促进战略合作。负责来金投资企业的协调和服务工作。</w:t>
      </w:r>
    </w:p>
    <w:p>
      <w:pPr>
        <w:pStyle w:val="7"/>
        <w:keepNext w:val="0"/>
        <w:keepLines w:val="0"/>
        <w:pageBreakBefore w:val="0"/>
        <w:kinsoku/>
        <w:overflowPunct/>
        <w:topLinePunct w:val="0"/>
        <w:autoSpaceDE/>
        <w:autoSpaceDN/>
        <w:bidi w:val="0"/>
        <w:adjustRightInd/>
        <w:spacing w:before="0" w:beforeAutospacing="0" w:after="0" w:afterAutospacing="0" w:line="540" w:lineRule="exact"/>
        <w:ind w:left="0" w:leftChars="0" w:right="0" w:rightChars="0" w:firstLine="640" w:firstLineChars="200"/>
        <w:textAlignment w:val="auto"/>
        <w:outlineLvl w:val="9"/>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7.负责建立全市投资促进工作综合评价体系，制定投资促进监督检查、考核奖励办法并组织实施。</w:t>
      </w:r>
    </w:p>
    <w:p>
      <w:pPr>
        <w:pStyle w:val="7"/>
        <w:keepNext w:val="0"/>
        <w:keepLines w:val="0"/>
        <w:pageBreakBefore w:val="0"/>
        <w:kinsoku/>
        <w:overflowPunct/>
        <w:topLinePunct w:val="0"/>
        <w:autoSpaceDE/>
        <w:autoSpaceDN/>
        <w:bidi w:val="0"/>
        <w:adjustRightInd/>
        <w:spacing w:before="0" w:beforeAutospacing="0" w:after="0" w:afterAutospacing="0" w:line="540" w:lineRule="exact"/>
        <w:ind w:left="0" w:leftChars="0" w:right="0" w:rightChars="0" w:firstLine="640" w:firstLineChars="200"/>
        <w:textAlignment w:val="auto"/>
        <w:outlineLvl w:val="9"/>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8.负责全市投资促进和招商引资队伍建设。指导各县（市、区）、各开发区、各大产业平台等招商主体和市级产业主管部门的招商引资队伍建设。</w:t>
      </w:r>
    </w:p>
    <w:p>
      <w:pPr>
        <w:pStyle w:val="7"/>
        <w:keepNext w:val="0"/>
        <w:keepLines w:val="0"/>
        <w:pageBreakBefore w:val="0"/>
        <w:kinsoku/>
        <w:overflowPunct/>
        <w:topLinePunct w:val="0"/>
        <w:autoSpaceDE/>
        <w:autoSpaceDN/>
        <w:bidi w:val="0"/>
        <w:adjustRightInd/>
        <w:spacing w:before="0" w:beforeAutospacing="0" w:after="0" w:afterAutospacing="0" w:line="540" w:lineRule="exact"/>
        <w:ind w:left="0" w:leftChars="0" w:right="0" w:rightChars="0" w:firstLine="640" w:firstLineChars="200"/>
        <w:textAlignment w:val="auto"/>
        <w:outlineLvl w:val="9"/>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9.完成市委、市政府交办的其他任务。</w:t>
      </w:r>
    </w:p>
    <w:p>
      <w:pPr>
        <w:pStyle w:val="7"/>
        <w:keepNext w:val="0"/>
        <w:keepLines w:val="0"/>
        <w:pageBreakBefore w:val="0"/>
        <w:kinsoku/>
        <w:overflowPunct/>
        <w:topLinePunct w:val="0"/>
        <w:autoSpaceDE/>
        <w:autoSpaceDN/>
        <w:bidi w:val="0"/>
        <w:adjustRightInd/>
        <w:spacing w:before="0" w:beforeAutospacing="0" w:after="0" w:afterAutospacing="0" w:line="540" w:lineRule="exact"/>
        <w:ind w:left="0" w:leftChars="0" w:right="0" w:rightChars="0" w:firstLine="640" w:firstLineChars="200"/>
        <w:textAlignment w:val="auto"/>
        <w:outlineLvl w:val="9"/>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10.指导北京、上海、杭州</w:t>
      </w:r>
      <w:r>
        <w:rPr>
          <w:rFonts w:hint="eastAsia" w:ascii="仿宋" w:hAnsi="仿宋" w:eastAsia="仿宋" w:cs="仿宋"/>
          <w:color w:val="000000" w:themeColor="text1"/>
          <w:sz w:val="32"/>
          <w:szCs w:val="32"/>
          <w:lang w:eastAsia="zh-CN"/>
        </w:rPr>
        <w:t>、深圳</w:t>
      </w:r>
      <w:r>
        <w:rPr>
          <w:rFonts w:hint="eastAsia" w:ascii="仿宋" w:hAnsi="仿宋" w:eastAsia="仿宋" w:cs="仿宋"/>
          <w:color w:val="000000" w:themeColor="text1"/>
          <w:sz w:val="32"/>
          <w:szCs w:val="32"/>
        </w:rPr>
        <w:t>等招商引才</w:t>
      </w:r>
      <w:r>
        <w:rPr>
          <w:rFonts w:hint="eastAsia" w:ascii="仿宋" w:hAnsi="仿宋" w:eastAsia="仿宋" w:cs="仿宋"/>
          <w:color w:val="000000" w:themeColor="text1"/>
          <w:sz w:val="32"/>
          <w:szCs w:val="32"/>
          <w:lang w:eastAsia="zh-CN"/>
        </w:rPr>
        <w:t>总部</w:t>
      </w:r>
      <w:r>
        <w:rPr>
          <w:rFonts w:hint="eastAsia" w:ascii="仿宋" w:hAnsi="仿宋" w:eastAsia="仿宋" w:cs="仿宋"/>
          <w:color w:val="000000" w:themeColor="text1"/>
          <w:sz w:val="32"/>
          <w:szCs w:val="32"/>
        </w:rPr>
        <w:t>的招商引资业务工作。</w:t>
      </w: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27" w:firstLineChars="196"/>
        <w:textAlignment w:val="auto"/>
        <w:outlineLvl w:val="9"/>
        <w:rPr>
          <w:rFonts w:hint="eastAsia" w:ascii="楷体" w:hAnsi="楷体" w:eastAsia="楷体" w:cs="楷体_GB2312"/>
          <w:color w:val="000000"/>
          <w:sz w:val="32"/>
          <w:szCs w:val="32"/>
        </w:rPr>
      </w:pPr>
      <w:r>
        <w:rPr>
          <w:rFonts w:hint="eastAsia" w:ascii="楷体" w:hAnsi="楷体" w:eastAsia="楷体" w:cs="楷体_GB2312"/>
          <w:color w:val="000000"/>
          <w:sz w:val="32"/>
          <w:szCs w:val="32"/>
        </w:rPr>
        <w:t>（二）部门机构设置情况</w:t>
      </w:r>
    </w:p>
    <w:p>
      <w:pPr>
        <w:pStyle w:val="7"/>
        <w:keepNext w:val="0"/>
        <w:keepLines w:val="0"/>
        <w:widowControl/>
        <w:numPr>
          <w:ilvl w:val="0"/>
          <w:numId w:val="0"/>
        </w:numPr>
        <w:suppressLineNumbers w:val="0"/>
        <w:spacing w:before="0" w:beforeAutospacing="0" w:after="0" w:afterAutospacing="0" w:line="284" w:lineRule="atLeast"/>
        <w:ind w:left="0" w:leftChars="0" w:right="0" w:rightChars="0" w:firstLine="640" w:firstLineChars="200"/>
        <w:rPr>
          <w:rFonts w:hint="eastAsia" w:ascii="Times New Roman" w:hAnsi="Times New Roman" w:eastAsia="仿宋_GB2312" w:cs="仿宋_GB2312"/>
          <w:color w:val="auto"/>
          <w:kern w:val="0"/>
          <w:sz w:val="32"/>
          <w:szCs w:val="32"/>
          <w:lang w:val="en-US" w:eastAsia="zh-CN" w:bidi="ar"/>
        </w:rPr>
      </w:pPr>
      <w:r>
        <w:rPr>
          <w:rFonts w:hint="eastAsia" w:ascii="Times New Roman" w:hAnsi="Times New Roman" w:eastAsia="仿宋_GB2312" w:cs="仿宋_GB2312"/>
          <w:color w:val="auto"/>
          <w:kern w:val="0"/>
          <w:sz w:val="32"/>
          <w:szCs w:val="32"/>
          <w:lang w:val="en-US" w:eastAsia="zh-CN" w:bidi="ar"/>
        </w:rPr>
        <w:t>从预算单位构成看，金华市投资促进中心部门决算包括：中心本级决算1个。</w:t>
      </w:r>
    </w:p>
    <w:p>
      <w:pPr>
        <w:pStyle w:val="7"/>
        <w:keepNext w:val="0"/>
        <w:keepLines w:val="0"/>
        <w:widowControl/>
        <w:numPr>
          <w:ilvl w:val="0"/>
          <w:numId w:val="0"/>
        </w:numPr>
        <w:suppressLineNumbers w:val="0"/>
        <w:spacing w:before="0" w:beforeAutospacing="0" w:after="0" w:afterAutospacing="0" w:line="284" w:lineRule="atLeast"/>
        <w:ind w:left="0" w:leftChars="0" w:right="0" w:rightChars="0" w:firstLine="640" w:firstLineChars="200"/>
        <w:rPr>
          <w:rFonts w:hint="eastAsia" w:ascii="Times New Roman" w:hAnsi="Times New Roman" w:eastAsia="仿宋_GB2312" w:cs="仿宋_GB2312"/>
          <w:color w:val="auto"/>
          <w:kern w:val="0"/>
          <w:sz w:val="32"/>
          <w:szCs w:val="32"/>
          <w:lang w:val="en-US" w:eastAsia="zh-CN" w:bidi="ar"/>
        </w:rPr>
      </w:pPr>
      <w:r>
        <w:rPr>
          <w:rFonts w:hint="eastAsia" w:ascii="Times New Roman" w:hAnsi="Times New Roman" w:eastAsia="仿宋_GB2312" w:cs="仿宋_GB2312"/>
          <w:color w:val="auto"/>
          <w:kern w:val="0"/>
          <w:sz w:val="32"/>
          <w:szCs w:val="32"/>
          <w:lang w:val="en-US" w:eastAsia="zh-CN" w:bidi="ar"/>
        </w:rPr>
        <w:t>纳入金华市投资促进中心2022年度部门决算编制范围的二级预算单位：无。</w:t>
      </w:r>
    </w:p>
    <w:p>
      <w:pPr>
        <w:pStyle w:val="7"/>
        <w:keepNext w:val="0"/>
        <w:keepLines w:val="0"/>
        <w:widowControl/>
        <w:numPr>
          <w:ilvl w:val="0"/>
          <w:numId w:val="0"/>
        </w:numPr>
        <w:suppressLineNumbers w:val="0"/>
        <w:spacing w:before="0" w:beforeAutospacing="0" w:after="0" w:afterAutospacing="0" w:line="284" w:lineRule="atLeast"/>
        <w:ind w:left="0" w:leftChars="0" w:right="0" w:rightChars="0" w:firstLine="640" w:firstLineChars="200"/>
        <w:rPr>
          <w:rFonts w:hint="eastAsia" w:ascii="Times New Roman" w:hAnsi="Times New Roman" w:eastAsia="仿宋_GB2312" w:cs="仿宋_GB2312"/>
          <w:color w:val="auto"/>
          <w:kern w:val="0"/>
          <w:sz w:val="32"/>
          <w:szCs w:val="32"/>
          <w:lang w:val="en-US" w:eastAsia="zh-CN" w:bidi="ar"/>
        </w:rPr>
      </w:pPr>
      <w:r>
        <w:rPr>
          <w:rFonts w:hint="eastAsia" w:ascii="Times New Roman" w:hAnsi="Times New Roman" w:eastAsia="仿宋_GB2312" w:cs="仿宋_GB2312"/>
          <w:color w:val="auto"/>
          <w:kern w:val="0"/>
          <w:sz w:val="32"/>
          <w:szCs w:val="32"/>
          <w:lang w:val="en-US" w:eastAsia="zh-CN" w:bidi="ar"/>
        </w:rPr>
        <w:t>从预算单位构成看，本单位内设：办公室、投资研究处、投资促进处、投资服务处。</w:t>
      </w:r>
    </w:p>
    <w:p>
      <w:pPr>
        <w:keepNext w:val="0"/>
        <w:keepLines w:val="0"/>
        <w:pageBreakBefore w:val="0"/>
        <w:numPr>
          <w:ilvl w:val="0"/>
          <w:numId w:val="2"/>
        </w:numPr>
        <w:kinsoku/>
        <w:overflowPunct/>
        <w:topLinePunct w:val="0"/>
        <w:autoSpaceDE/>
        <w:autoSpaceDN/>
        <w:bidi w:val="0"/>
        <w:adjustRightInd/>
        <w:spacing w:beforeAutospacing="0" w:afterAutospacing="0" w:line="540" w:lineRule="exact"/>
        <w:ind w:left="0" w:leftChars="0" w:right="0" w:rightChars="0" w:firstLine="645"/>
        <w:textAlignment w:val="auto"/>
        <w:outlineLvl w:val="9"/>
        <w:rPr>
          <w:rStyle w:val="9"/>
          <w:rFonts w:hint="eastAsia" w:ascii="黑体" w:eastAsia="黑体"/>
          <w:b w:val="0"/>
          <w:color w:val="000000"/>
        </w:rPr>
      </w:pPr>
      <w:r>
        <w:rPr>
          <w:rStyle w:val="9"/>
          <w:rFonts w:hint="eastAsia" w:ascii="黑体" w:eastAsia="黑体"/>
          <w:b w:val="0"/>
          <w:color w:val="000000"/>
        </w:rPr>
        <w:t>金华市投资促进中心202</w:t>
      </w:r>
      <w:r>
        <w:rPr>
          <w:rStyle w:val="9"/>
          <w:rFonts w:hint="eastAsia" w:ascii="黑体" w:eastAsia="黑体"/>
          <w:b w:val="0"/>
          <w:color w:val="000000"/>
          <w:lang w:val="en-US" w:eastAsia="zh-CN"/>
        </w:rPr>
        <w:t>2</w:t>
      </w:r>
      <w:r>
        <w:rPr>
          <w:rStyle w:val="9"/>
          <w:rFonts w:hint="eastAsia" w:ascii="黑体" w:eastAsia="黑体"/>
          <w:b w:val="0"/>
          <w:color w:val="000000"/>
        </w:rPr>
        <w:t>年部门预算安排情况说明</w:t>
      </w:r>
    </w:p>
    <w:p>
      <w:pPr>
        <w:keepNext w:val="0"/>
        <w:keepLines w:val="0"/>
        <w:pageBreakBefore w:val="0"/>
        <w:kinsoku/>
        <w:overflowPunct/>
        <w:topLinePunct w:val="0"/>
        <w:autoSpaceDE/>
        <w:autoSpaceDN/>
        <w:bidi w:val="0"/>
        <w:adjustRightInd/>
        <w:spacing w:beforeAutospacing="0" w:afterAutospacing="0" w:line="540" w:lineRule="exact"/>
        <w:ind w:right="0" w:rightChars="0" w:firstLine="320" w:firstLineChars="100"/>
        <w:textAlignment w:val="auto"/>
        <w:outlineLvl w:val="9"/>
        <w:rPr>
          <w:rFonts w:ascii="楷体" w:hAnsi="楷体" w:eastAsia="楷体"/>
          <w:bCs/>
          <w:color w:val="000000"/>
          <w:sz w:val="32"/>
          <w:szCs w:val="32"/>
        </w:rPr>
      </w:pPr>
      <w:r>
        <w:rPr>
          <w:rFonts w:hint="eastAsia" w:ascii="楷体" w:hAnsi="楷体" w:eastAsia="楷体" w:cs="楷体_GB2312"/>
          <w:color w:val="000000"/>
          <w:sz w:val="32"/>
          <w:szCs w:val="32"/>
        </w:rPr>
        <w:t>（一）关于</w:t>
      </w:r>
      <w:r>
        <w:rPr>
          <w:rFonts w:hint="eastAsia" w:ascii="楷体" w:hAnsi="楷体" w:eastAsia="楷体" w:cs="楷体_GB2312"/>
          <w:color w:val="000000"/>
          <w:sz w:val="32"/>
          <w:szCs w:val="32"/>
          <w:lang w:eastAsia="zh-CN"/>
        </w:rPr>
        <w:t>金华</w:t>
      </w:r>
      <w:r>
        <w:rPr>
          <w:rFonts w:hint="eastAsia" w:ascii="楷体" w:hAnsi="楷体" w:eastAsia="楷体" w:cs="楷体_GB2312"/>
          <w:color w:val="000000"/>
          <w:sz w:val="32"/>
          <w:szCs w:val="32"/>
        </w:rPr>
        <w:t>市投资促进中心</w:t>
      </w:r>
      <w:r>
        <w:rPr>
          <w:rFonts w:hint="eastAsia" w:ascii="楷体" w:hAnsi="楷体" w:eastAsia="楷体"/>
          <w:bCs/>
          <w:color w:val="000000"/>
          <w:sz w:val="32"/>
          <w:szCs w:val="32"/>
        </w:rPr>
        <w:t>202</w:t>
      </w:r>
      <w:r>
        <w:rPr>
          <w:rFonts w:hint="eastAsia" w:ascii="楷体" w:hAnsi="楷体" w:eastAsia="楷体"/>
          <w:bCs/>
          <w:color w:val="000000"/>
          <w:sz w:val="32"/>
          <w:szCs w:val="32"/>
          <w:lang w:val="en-US" w:eastAsia="zh-CN"/>
        </w:rPr>
        <w:t>2</w:t>
      </w:r>
      <w:r>
        <w:rPr>
          <w:rFonts w:hint="eastAsia" w:ascii="楷体" w:hAnsi="楷体" w:eastAsia="楷体"/>
          <w:bCs/>
          <w:color w:val="000000"/>
          <w:sz w:val="32"/>
          <w:szCs w:val="32"/>
        </w:rPr>
        <w:t>年收支预算情况的总体说明</w:t>
      </w: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color w:val="000000" w:themeColor="text1"/>
          <w:kern w:val="0"/>
          <w:sz w:val="32"/>
          <w:szCs w:val="32"/>
          <w:lang w:val="en-US" w:eastAsia="zh-CN" w:bidi="ar-SA"/>
        </w:rPr>
      </w:pPr>
      <w:r>
        <w:rPr>
          <w:rFonts w:hint="eastAsia" w:ascii="仿宋" w:hAnsi="仿宋" w:eastAsia="仿宋" w:cs="仿宋"/>
          <w:color w:val="000000" w:themeColor="text1"/>
          <w:kern w:val="0"/>
          <w:sz w:val="32"/>
          <w:szCs w:val="32"/>
          <w:lang w:val="en-US" w:eastAsia="zh-CN" w:bidi="ar-SA"/>
        </w:rPr>
        <w:t>按照综合预算的原则，金华市投资促进中心所有收入和支出均纳入部门预算管理。收入包括：财政拨款的一般公共预算收入；支出包括：一般公共服务支出、社会保障和就业支出、卫生健康支出、住房保障支出。金华市投资促进中心2022年收支总预算984.03万元。</w:t>
      </w: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ascii="楷体" w:hAnsi="楷体" w:eastAsia="楷体" w:cs="楷体_GB2312"/>
          <w:color w:val="000000"/>
          <w:sz w:val="32"/>
          <w:szCs w:val="32"/>
        </w:rPr>
      </w:pPr>
      <w:r>
        <w:rPr>
          <w:rFonts w:hint="eastAsia" w:ascii="楷体" w:hAnsi="楷体" w:eastAsia="楷体" w:cs="楷体_GB2312"/>
          <w:color w:val="000000"/>
          <w:sz w:val="32"/>
          <w:szCs w:val="32"/>
        </w:rPr>
        <w:t>（二）关于</w:t>
      </w:r>
      <w:r>
        <w:rPr>
          <w:rFonts w:hint="eastAsia" w:ascii="楷体" w:hAnsi="楷体" w:eastAsia="楷体" w:cs="楷体_GB2312"/>
          <w:color w:val="000000"/>
          <w:sz w:val="32"/>
          <w:szCs w:val="32"/>
          <w:lang w:eastAsia="zh-CN"/>
        </w:rPr>
        <w:t>金华市</w:t>
      </w:r>
      <w:r>
        <w:rPr>
          <w:rFonts w:hint="eastAsia" w:ascii="楷体" w:hAnsi="楷体" w:eastAsia="楷体" w:cs="楷体_GB2312"/>
          <w:color w:val="000000"/>
          <w:sz w:val="32"/>
          <w:szCs w:val="32"/>
        </w:rPr>
        <w:t>投资促进中心</w:t>
      </w:r>
      <w:r>
        <w:rPr>
          <w:rFonts w:hint="eastAsia" w:ascii="楷体" w:hAnsi="楷体" w:eastAsia="楷体"/>
          <w:bCs/>
          <w:color w:val="000000"/>
          <w:sz w:val="32"/>
          <w:szCs w:val="32"/>
        </w:rPr>
        <w:t>202</w:t>
      </w:r>
      <w:r>
        <w:rPr>
          <w:rFonts w:hint="eastAsia" w:ascii="楷体" w:hAnsi="楷体" w:eastAsia="楷体"/>
          <w:bCs/>
          <w:color w:val="000000"/>
          <w:sz w:val="32"/>
          <w:szCs w:val="32"/>
          <w:lang w:val="en-US" w:eastAsia="zh-CN"/>
        </w:rPr>
        <w:t>2</w:t>
      </w:r>
      <w:r>
        <w:rPr>
          <w:rFonts w:hint="eastAsia" w:ascii="楷体" w:hAnsi="楷体" w:eastAsia="楷体"/>
          <w:bCs/>
          <w:color w:val="000000"/>
          <w:sz w:val="32"/>
          <w:szCs w:val="32"/>
        </w:rPr>
        <w:t>年</w:t>
      </w:r>
      <w:r>
        <w:rPr>
          <w:rFonts w:hint="eastAsia" w:ascii="楷体" w:hAnsi="楷体" w:eastAsia="楷体" w:cs="楷体_GB2312"/>
          <w:color w:val="000000"/>
          <w:sz w:val="32"/>
          <w:szCs w:val="32"/>
        </w:rPr>
        <w:t>收入预算情况说明</w:t>
      </w: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color w:val="000000" w:themeColor="text1"/>
          <w:kern w:val="0"/>
          <w:sz w:val="32"/>
          <w:szCs w:val="32"/>
          <w:lang w:val="en-US" w:eastAsia="zh-CN" w:bidi="ar-SA"/>
        </w:rPr>
      </w:pPr>
      <w:r>
        <w:rPr>
          <w:rFonts w:hint="eastAsia" w:ascii="仿宋" w:hAnsi="仿宋" w:eastAsia="仿宋" w:cs="仿宋"/>
          <w:color w:val="000000" w:themeColor="text1"/>
          <w:kern w:val="0"/>
          <w:sz w:val="32"/>
          <w:szCs w:val="32"/>
          <w:lang w:val="en-US" w:eastAsia="zh-CN" w:bidi="ar-SA"/>
        </w:rPr>
        <w:t>金华市投资促进中心2022年收入预算984.03万元，比2021年执行数增加4.95万元，增长0.5%，主要是新增了一般公共服务支出－人员工资福利及住房保障支出5万元。其中：上年结转0万元，占0%;一般公共预算拨款收入984.03万元，占100%；政府性基金预算收入0万元，占0%；国有资本经营预算收入0万元，占0%；财政专户管理资金0万元，占0%。</w:t>
      </w: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楷体" w:hAnsi="楷体" w:eastAsia="楷体" w:cs="楷体_GB2312"/>
          <w:color w:val="000000"/>
          <w:sz w:val="32"/>
          <w:szCs w:val="32"/>
        </w:rPr>
        <w:t>（三）关于</w:t>
      </w:r>
      <w:r>
        <w:rPr>
          <w:rFonts w:hint="eastAsia" w:ascii="楷体" w:hAnsi="楷体" w:eastAsia="楷体" w:cs="楷体_GB2312"/>
          <w:color w:val="000000"/>
          <w:sz w:val="32"/>
          <w:szCs w:val="32"/>
          <w:lang w:eastAsia="zh-CN"/>
        </w:rPr>
        <w:t>金华市</w:t>
      </w:r>
      <w:r>
        <w:rPr>
          <w:rFonts w:hint="eastAsia" w:ascii="楷体" w:hAnsi="楷体" w:eastAsia="楷体" w:cs="楷体_GB2312"/>
          <w:color w:val="000000"/>
          <w:sz w:val="32"/>
          <w:szCs w:val="32"/>
        </w:rPr>
        <w:t>投资促进中心</w:t>
      </w:r>
      <w:r>
        <w:rPr>
          <w:rFonts w:hint="eastAsia" w:ascii="楷体" w:hAnsi="楷体" w:eastAsia="楷体"/>
          <w:bCs/>
          <w:color w:val="000000"/>
          <w:sz w:val="32"/>
          <w:szCs w:val="32"/>
        </w:rPr>
        <w:t>202</w:t>
      </w:r>
      <w:r>
        <w:rPr>
          <w:rFonts w:hint="eastAsia" w:ascii="楷体" w:hAnsi="楷体" w:eastAsia="楷体"/>
          <w:bCs/>
          <w:color w:val="000000"/>
          <w:sz w:val="32"/>
          <w:szCs w:val="32"/>
          <w:lang w:val="en-US" w:eastAsia="zh-CN"/>
        </w:rPr>
        <w:t>2</w:t>
      </w:r>
      <w:r>
        <w:rPr>
          <w:rFonts w:hint="eastAsia" w:ascii="楷体" w:hAnsi="楷体" w:eastAsia="楷体"/>
          <w:bCs/>
          <w:color w:val="000000"/>
          <w:sz w:val="32"/>
          <w:szCs w:val="32"/>
        </w:rPr>
        <w:t>年</w:t>
      </w:r>
      <w:r>
        <w:rPr>
          <w:rFonts w:hint="eastAsia" w:ascii="楷体" w:hAnsi="楷体" w:eastAsia="楷体" w:cs="楷体_GB2312"/>
          <w:color w:val="000000"/>
          <w:sz w:val="32"/>
          <w:szCs w:val="32"/>
        </w:rPr>
        <w:t>支出预算情况说明</w:t>
      </w: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color w:val="000000" w:themeColor="text1"/>
          <w:kern w:val="0"/>
          <w:sz w:val="32"/>
          <w:szCs w:val="32"/>
          <w:lang w:val="en-US" w:eastAsia="zh-CN" w:bidi="ar-SA"/>
        </w:rPr>
      </w:pPr>
      <w:r>
        <w:rPr>
          <w:rFonts w:hint="eastAsia" w:ascii="仿宋" w:hAnsi="仿宋" w:eastAsia="仿宋" w:cs="仿宋"/>
          <w:color w:val="000000" w:themeColor="text1"/>
          <w:kern w:val="0"/>
          <w:sz w:val="32"/>
          <w:szCs w:val="32"/>
          <w:lang w:val="en-US" w:eastAsia="zh-CN" w:bidi="ar-SA"/>
        </w:rPr>
        <w:t>金华市投资促进中心2022年支出预算984.03万元。比上年执行数增加4.95万元，增长0.5%，主要是新增了一般公共服务支出－人员工资福利及住房保障支出5万元。</w:t>
      </w: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color w:val="000000" w:themeColor="text1"/>
          <w:kern w:val="0"/>
          <w:sz w:val="32"/>
          <w:szCs w:val="32"/>
          <w:lang w:val="en-US" w:eastAsia="zh-CN" w:bidi="ar-SA"/>
        </w:rPr>
      </w:pPr>
      <w:r>
        <w:rPr>
          <w:rFonts w:hint="eastAsia" w:ascii="仿宋" w:hAnsi="仿宋" w:eastAsia="仿宋" w:cs="仿宋"/>
          <w:color w:val="000000" w:themeColor="text1"/>
          <w:kern w:val="0"/>
          <w:sz w:val="32"/>
          <w:szCs w:val="32"/>
          <w:lang w:val="en-US" w:eastAsia="zh-CN" w:bidi="ar-SA"/>
        </w:rPr>
        <w:t>1.按支出功能分类，包括一般公共服务支出847.3万元、教育支出0万元、社会保障和就业支出53.55万元、卫生健康支出23.2万元、住房保障支出59.98万元。</w:t>
      </w: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color w:val="000000" w:themeColor="text1"/>
          <w:kern w:val="0"/>
          <w:sz w:val="32"/>
          <w:szCs w:val="32"/>
          <w:lang w:val="en-US" w:eastAsia="zh-CN" w:bidi="ar-SA"/>
        </w:rPr>
      </w:pPr>
      <w:r>
        <w:rPr>
          <w:rFonts w:hint="eastAsia" w:ascii="仿宋" w:hAnsi="仿宋" w:eastAsia="仿宋" w:cs="仿宋"/>
          <w:color w:val="000000" w:themeColor="text1"/>
          <w:kern w:val="0"/>
          <w:sz w:val="32"/>
          <w:szCs w:val="32"/>
          <w:lang w:val="en-US" w:eastAsia="zh-CN" w:bidi="ar-SA"/>
        </w:rPr>
        <w:t>2.按支出用途分类，包括人员支出597.24万元，占60.7%；日常公用支出96.61万元，占9.8%；项目支出290.18万元，占29.5%。</w:t>
      </w: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color w:val="000000" w:themeColor="text1"/>
          <w:kern w:val="0"/>
          <w:sz w:val="32"/>
          <w:szCs w:val="32"/>
          <w:lang w:val="en-US" w:eastAsia="zh-CN" w:bidi="ar-SA"/>
        </w:rPr>
      </w:pPr>
      <w:r>
        <w:rPr>
          <w:rFonts w:hint="eastAsia" w:ascii="仿宋" w:hAnsi="仿宋" w:eastAsia="仿宋" w:cs="仿宋"/>
          <w:color w:val="000000" w:themeColor="text1"/>
          <w:kern w:val="0"/>
          <w:sz w:val="32"/>
          <w:szCs w:val="32"/>
          <w:lang w:val="en-US" w:eastAsia="zh-CN" w:bidi="ar-SA"/>
        </w:rPr>
        <w:t>结转下年0万元。</w:t>
      </w: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ascii="楷体" w:hAnsi="楷体" w:eastAsia="楷体" w:cs="楷体_GB2312"/>
          <w:sz w:val="32"/>
          <w:szCs w:val="32"/>
        </w:rPr>
      </w:pPr>
      <w:r>
        <w:rPr>
          <w:rFonts w:hint="eastAsia" w:ascii="楷体" w:hAnsi="楷体" w:eastAsia="楷体" w:cs="楷体_GB2312"/>
          <w:sz w:val="32"/>
          <w:szCs w:val="32"/>
        </w:rPr>
        <w:t>（四）</w:t>
      </w:r>
      <w:r>
        <w:rPr>
          <w:rFonts w:hint="eastAsia" w:ascii="楷体" w:hAnsi="楷体" w:eastAsia="楷体" w:cs="楷体_GB2312"/>
          <w:color w:val="000000"/>
          <w:sz w:val="32"/>
          <w:szCs w:val="32"/>
        </w:rPr>
        <w:t>关于</w:t>
      </w:r>
      <w:r>
        <w:rPr>
          <w:rFonts w:hint="eastAsia" w:ascii="楷体" w:hAnsi="楷体" w:eastAsia="楷体" w:cs="楷体_GB2312"/>
          <w:color w:val="000000"/>
          <w:sz w:val="32"/>
          <w:szCs w:val="32"/>
          <w:lang w:eastAsia="zh-CN"/>
        </w:rPr>
        <w:t>金华市</w:t>
      </w:r>
      <w:r>
        <w:rPr>
          <w:rFonts w:hint="eastAsia" w:ascii="楷体" w:hAnsi="楷体" w:eastAsia="楷体" w:cs="楷体_GB2312"/>
          <w:color w:val="000000"/>
          <w:sz w:val="32"/>
          <w:szCs w:val="32"/>
        </w:rPr>
        <w:t>投资促进中心</w:t>
      </w:r>
      <w:r>
        <w:rPr>
          <w:rFonts w:hint="eastAsia" w:ascii="楷体" w:hAnsi="楷体" w:eastAsia="楷体"/>
          <w:bCs/>
          <w:color w:val="000000"/>
          <w:sz w:val="32"/>
          <w:szCs w:val="32"/>
        </w:rPr>
        <w:t>202</w:t>
      </w:r>
      <w:r>
        <w:rPr>
          <w:rFonts w:hint="eastAsia" w:ascii="楷体" w:hAnsi="楷体" w:eastAsia="楷体"/>
          <w:bCs/>
          <w:color w:val="000000"/>
          <w:sz w:val="32"/>
          <w:szCs w:val="32"/>
          <w:lang w:val="en-US" w:eastAsia="zh-CN"/>
        </w:rPr>
        <w:t>2</w:t>
      </w:r>
      <w:r>
        <w:rPr>
          <w:rFonts w:hint="eastAsia" w:ascii="楷体" w:hAnsi="楷体" w:eastAsia="楷体"/>
          <w:bCs/>
          <w:color w:val="000000"/>
          <w:sz w:val="32"/>
          <w:szCs w:val="32"/>
        </w:rPr>
        <w:t>年</w:t>
      </w:r>
      <w:r>
        <w:rPr>
          <w:rFonts w:hint="eastAsia" w:ascii="楷体" w:hAnsi="楷体" w:eastAsia="楷体" w:cs="楷体_GB2312"/>
          <w:sz w:val="32"/>
          <w:szCs w:val="32"/>
        </w:rPr>
        <w:t>财政拨款收支预算情况的总体说明</w:t>
      </w: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color w:val="000000" w:themeColor="text1"/>
          <w:kern w:val="0"/>
          <w:sz w:val="32"/>
          <w:szCs w:val="32"/>
          <w:lang w:val="en-US" w:eastAsia="zh-CN" w:bidi="ar-SA"/>
        </w:rPr>
      </w:pPr>
      <w:r>
        <w:rPr>
          <w:rFonts w:hint="eastAsia" w:ascii="仿宋" w:hAnsi="仿宋" w:eastAsia="仿宋" w:cs="仿宋"/>
          <w:color w:val="000000" w:themeColor="text1"/>
          <w:kern w:val="0"/>
          <w:sz w:val="32"/>
          <w:szCs w:val="32"/>
          <w:lang w:val="en-US" w:eastAsia="zh-CN" w:bidi="ar-SA"/>
        </w:rPr>
        <w:t>金华市投资促进中心2022年财政拨款收支总预算984.03万元。收入包括：一般公共预算984.03万元、政府性基金0万元；支出包括：一般公共服务支出847.3万元、教育支出0万元、社会保障和就业支出53.55万元、卫生健康支出23.2万元、住房保障支出59.98万元。</w:t>
      </w:r>
    </w:p>
    <w:p>
      <w:pPr>
        <w:keepNext w:val="0"/>
        <w:keepLines w:val="0"/>
        <w:pageBreakBefore w:val="0"/>
        <w:numPr>
          <w:ilvl w:val="0"/>
          <w:numId w:val="3"/>
        </w:numPr>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ascii="楷体" w:hAnsi="楷体" w:eastAsia="楷体" w:cs="楷体_GB2312"/>
          <w:color w:val="000000"/>
          <w:sz w:val="32"/>
          <w:szCs w:val="32"/>
        </w:rPr>
      </w:pPr>
      <w:r>
        <w:rPr>
          <w:rFonts w:hint="eastAsia" w:ascii="楷体" w:hAnsi="楷体" w:eastAsia="楷体" w:cs="楷体_GB2312"/>
          <w:color w:val="000000"/>
          <w:sz w:val="32"/>
          <w:szCs w:val="32"/>
        </w:rPr>
        <w:t>关于</w:t>
      </w:r>
      <w:r>
        <w:rPr>
          <w:rFonts w:hint="eastAsia" w:ascii="楷体" w:hAnsi="楷体" w:eastAsia="楷体" w:cs="楷体_GB2312"/>
          <w:color w:val="000000"/>
          <w:sz w:val="32"/>
          <w:szCs w:val="32"/>
          <w:lang w:eastAsia="zh-CN"/>
        </w:rPr>
        <w:t>金华市</w:t>
      </w:r>
      <w:r>
        <w:rPr>
          <w:rFonts w:hint="eastAsia" w:ascii="楷体" w:hAnsi="楷体" w:eastAsia="楷体" w:cs="楷体_GB2312"/>
          <w:color w:val="000000"/>
          <w:sz w:val="32"/>
          <w:szCs w:val="32"/>
        </w:rPr>
        <w:t>投资促进中心</w:t>
      </w:r>
      <w:r>
        <w:rPr>
          <w:rFonts w:hint="eastAsia" w:ascii="楷体" w:hAnsi="楷体" w:eastAsia="楷体"/>
          <w:bCs/>
          <w:color w:val="000000"/>
          <w:sz w:val="32"/>
          <w:szCs w:val="32"/>
        </w:rPr>
        <w:t>202</w:t>
      </w:r>
      <w:r>
        <w:rPr>
          <w:rFonts w:hint="eastAsia" w:ascii="楷体" w:hAnsi="楷体" w:eastAsia="楷体"/>
          <w:bCs/>
          <w:color w:val="000000"/>
          <w:sz w:val="32"/>
          <w:szCs w:val="32"/>
          <w:lang w:val="en-US" w:eastAsia="zh-CN"/>
        </w:rPr>
        <w:t>2</w:t>
      </w:r>
      <w:r>
        <w:rPr>
          <w:rFonts w:hint="eastAsia" w:ascii="楷体" w:hAnsi="楷体" w:eastAsia="楷体"/>
          <w:bCs/>
          <w:color w:val="000000"/>
          <w:sz w:val="32"/>
          <w:szCs w:val="32"/>
        </w:rPr>
        <w:t>年</w:t>
      </w:r>
      <w:r>
        <w:rPr>
          <w:rFonts w:hint="eastAsia" w:ascii="楷体" w:hAnsi="楷体" w:eastAsia="楷体" w:cs="楷体_GB2312"/>
          <w:color w:val="000000"/>
          <w:sz w:val="32"/>
          <w:szCs w:val="32"/>
        </w:rPr>
        <w:t>一般公共预算当年拨款情况说明</w:t>
      </w: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color w:val="000000" w:themeColor="text1"/>
          <w:kern w:val="0"/>
          <w:sz w:val="32"/>
          <w:szCs w:val="32"/>
          <w:lang w:val="en-US" w:eastAsia="zh-CN" w:bidi="ar-SA"/>
        </w:rPr>
      </w:pPr>
      <w:r>
        <w:rPr>
          <w:rFonts w:hint="eastAsia" w:ascii="仿宋" w:hAnsi="仿宋" w:eastAsia="仿宋" w:cs="仿宋"/>
          <w:color w:val="000000" w:themeColor="text1"/>
          <w:kern w:val="0"/>
          <w:sz w:val="32"/>
          <w:szCs w:val="32"/>
          <w:lang w:val="en-US" w:eastAsia="zh-CN" w:bidi="ar-SA"/>
        </w:rPr>
        <w:t>1、一般公共预算当年拨款规模变化情况</w:t>
      </w: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color w:val="000000" w:themeColor="text1"/>
          <w:kern w:val="0"/>
          <w:sz w:val="32"/>
          <w:szCs w:val="32"/>
          <w:lang w:val="en-US" w:eastAsia="zh-CN" w:bidi="ar-SA"/>
        </w:rPr>
      </w:pPr>
      <w:r>
        <w:rPr>
          <w:rFonts w:hint="eastAsia" w:ascii="仿宋" w:hAnsi="仿宋" w:eastAsia="仿宋" w:cs="仿宋"/>
          <w:color w:val="000000" w:themeColor="text1"/>
          <w:kern w:val="0"/>
          <w:sz w:val="32"/>
          <w:szCs w:val="32"/>
          <w:lang w:val="en-US" w:eastAsia="zh-CN" w:bidi="ar-SA"/>
        </w:rPr>
        <w:t>金华市投资促进中心2022年一般公共预算当年拨款984.03万元，比2021年执行数增加4.95万元，增长0.5%，主要是新增了一般公共服务支出－人员工资福利及住房保障支出5万元。</w:t>
      </w: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color w:val="000000" w:themeColor="text1"/>
          <w:kern w:val="0"/>
          <w:sz w:val="32"/>
          <w:szCs w:val="32"/>
          <w:lang w:val="en-US" w:eastAsia="zh-CN" w:bidi="ar-SA"/>
        </w:rPr>
      </w:pPr>
      <w:r>
        <w:rPr>
          <w:rFonts w:hint="eastAsia" w:ascii="仿宋" w:hAnsi="仿宋" w:eastAsia="仿宋" w:cs="仿宋"/>
          <w:color w:val="000000" w:themeColor="text1"/>
          <w:kern w:val="0"/>
          <w:sz w:val="32"/>
          <w:szCs w:val="32"/>
          <w:lang w:val="en-US" w:eastAsia="zh-CN" w:bidi="ar-SA"/>
        </w:rPr>
        <w:t>2.一般公共预算当年拨款结构情况。</w:t>
      </w: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color w:val="000000" w:themeColor="text1"/>
          <w:kern w:val="0"/>
          <w:sz w:val="32"/>
          <w:szCs w:val="32"/>
          <w:lang w:val="en-US" w:eastAsia="zh-CN" w:bidi="ar-SA"/>
        </w:rPr>
      </w:pPr>
      <w:r>
        <w:rPr>
          <w:rFonts w:hint="eastAsia" w:ascii="仿宋" w:hAnsi="仿宋" w:eastAsia="仿宋" w:cs="仿宋"/>
          <w:color w:val="000000" w:themeColor="text1"/>
          <w:kern w:val="0"/>
          <w:sz w:val="32"/>
          <w:szCs w:val="32"/>
          <w:lang w:val="en-US" w:eastAsia="zh-CN" w:bidi="ar-SA"/>
        </w:rPr>
        <w:t>一般公共服务（类）支出847.3万元，占86.1%；教育支出0万元，占0%；社会保障和就业（类）支出53.55万元，占5.4%；卫生健康支出23.2万元，占2.4%；住房保障（类）支出59.98万元，占6.1%。</w:t>
      </w: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color w:val="000000" w:themeColor="text1"/>
          <w:kern w:val="0"/>
          <w:sz w:val="32"/>
          <w:szCs w:val="32"/>
          <w:lang w:val="en-US" w:eastAsia="zh-CN" w:bidi="ar-SA"/>
        </w:rPr>
      </w:pPr>
      <w:r>
        <w:rPr>
          <w:rFonts w:hint="eastAsia" w:ascii="仿宋" w:hAnsi="仿宋" w:eastAsia="仿宋" w:cs="仿宋"/>
          <w:color w:val="000000" w:themeColor="text1"/>
          <w:kern w:val="0"/>
          <w:sz w:val="32"/>
          <w:szCs w:val="32"/>
          <w:lang w:val="en-US" w:eastAsia="zh-CN" w:bidi="ar-SA"/>
        </w:rPr>
        <w:t>3.一般公共预算当年拨款具体使用情况。</w:t>
      </w: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color w:val="000000" w:themeColor="text1"/>
          <w:kern w:val="0"/>
          <w:sz w:val="32"/>
          <w:szCs w:val="32"/>
          <w:lang w:val="en-US" w:eastAsia="zh-CN" w:bidi="ar-SA"/>
        </w:rPr>
      </w:pPr>
      <w:r>
        <w:rPr>
          <w:rFonts w:hint="eastAsia" w:ascii="仿宋" w:hAnsi="仿宋" w:eastAsia="仿宋" w:cs="仿宋"/>
          <w:color w:val="000000" w:themeColor="text1"/>
          <w:kern w:val="0"/>
          <w:sz w:val="32"/>
          <w:szCs w:val="32"/>
          <w:lang w:val="en-US" w:eastAsia="zh-CN" w:bidi="ar-SA"/>
        </w:rPr>
        <w:t>（1）一般公共服务支出（类）政府办公厅（室）及相关机构事务（款）行政运行（政府办公厅（室）及相关机构事务（项）460.51万元，主要用于人员工资福利等支出。</w:t>
      </w: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color w:val="000000" w:themeColor="text1"/>
          <w:kern w:val="0"/>
          <w:sz w:val="32"/>
          <w:szCs w:val="32"/>
          <w:lang w:val="en-US" w:eastAsia="zh-CN" w:bidi="ar-SA"/>
        </w:rPr>
      </w:pPr>
      <w:r>
        <w:rPr>
          <w:rFonts w:hint="eastAsia" w:ascii="仿宋" w:hAnsi="仿宋" w:eastAsia="仿宋" w:cs="仿宋"/>
          <w:color w:val="000000" w:themeColor="text1"/>
          <w:kern w:val="0"/>
          <w:sz w:val="32"/>
          <w:szCs w:val="32"/>
          <w:lang w:val="en-US" w:eastAsia="zh-CN" w:bidi="ar-SA"/>
        </w:rPr>
        <w:t>（2）一般公共服务支出（类）政府办公厅（室）及相关机构事务（款）机关服务（政府办公厅（室）及相关机构事务）（项）96.61万元，主要用于公用经费及联络接待招商引才工作经费。</w:t>
      </w: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color w:val="000000" w:themeColor="text1"/>
          <w:kern w:val="0"/>
          <w:sz w:val="32"/>
          <w:szCs w:val="32"/>
          <w:lang w:val="en-US" w:eastAsia="zh-CN" w:bidi="ar-SA"/>
        </w:rPr>
      </w:pPr>
      <w:r>
        <w:rPr>
          <w:rFonts w:hint="eastAsia" w:ascii="仿宋" w:hAnsi="仿宋" w:eastAsia="仿宋" w:cs="仿宋"/>
          <w:color w:val="000000" w:themeColor="text1"/>
          <w:kern w:val="0"/>
          <w:sz w:val="32"/>
          <w:szCs w:val="32"/>
          <w:lang w:val="en-US" w:eastAsia="zh-CN" w:bidi="ar-SA"/>
        </w:rPr>
        <w:t>（3）一般公共服务支出（类）政府办公厅（室）及相关机构事务（款）专项业务活动（项）290.18万元，主要用于招商引资工作经费等专项经费支出。</w:t>
      </w: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color w:val="000000" w:themeColor="text1"/>
          <w:kern w:val="0"/>
          <w:sz w:val="32"/>
          <w:szCs w:val="32"/>
          <w:lang w:val="en-US" w:eastAsia="zh-CN" w:bidi="ar-SA"/>
        </w:rPr>
      </w:pPr>
      <w:r>
        <w:rPr>
          <w:rFonts w:hint="eastAsia" w:ascii="仿宋" w:hAnsi="仿宋" w:eastAsia="仿宋" w:cs="仿宋"/>
          <w:color w:val="000000" w:themeColor="text1"/>
          <w:kern w:val="0"/>
          <w:sz w:val="32"/>
          <w:szCs w:val="32"/>
          <w:lang w:val="en-US" w:eastAsia="zh-CN" w:bidi="ar-SA"/>
        </w:rPr>
        <w:t>（4）教育支出（类）进修及培训（款）培训支出（项）0万元，主要用于干部职工的培训教育支出。</w:t>
      </w: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color w:val="000000" w:themeColor="text1"/>
          <w:kern w:val="0"/>
          <w:sz w:val="32"/>
          <w:szCs w:val="32"/>
          <w:lang w:val="en-US" w:eastAsia="zh-CN" w:bidi="ar-SA"/>
        </w:rPr>
      </w:pPr>
      <w:r>
        <w:rPr>
          <w:rFonts w:hint="eastAsia" w:ascii="仿宋" w:hAnsi="仿宋" w:eastAsia="仿宋" w:cs="仿宋"/>
          <w:color w:val="000000" w:themeColor="text1"/>
          <w:kern w:val="0"/>
          <w:sz w:val="32"/>
          <w:szCs w:val="32"/>
          <w:lang w:val="en-US" w:eastAsia="zh-CN" w:bidi="ar-SA"/>
        </w:rPr>
        <w:t>（5）社会保障和就业支出（类）行政事业单位养老支出（款）行政单位离退休（项）3.25万元，主要用于离退休人员的养老保险缴费支出。</w:t>
      </w: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color w:val="000000" w:themeColor="text1"/>
          <w:kern w:val="0"/>
          <w:sz w:val="32"/>
          <w:szCs w:val="32"/>
          <w:lang w:val="en-US" w:eastAsia="zh-CN" w:bidi="ar-SA"/>
        </w:rPr>
      </w:pPr>
      <w:r>
        <w:rPr>
          <w:rFonts w:hint="eastAsia" w:ascii="仿宋" w:hAnsi="仿宋" w:eastAsia="仿宋" w:cs="仿宋"/>
          <w:color w:val="000000" w:themeColor="text1"/>
          <w:kern w:val="0"/>
          <w:sz w:val="32"/>
          <w:szCs w:val="32"/>
          <w:lang w:val="en-US" w:eastAsia="zh-CN" w:bidi="ar-SA"/>
        </w:rPr>
        <w:t>（6）社会保障和就业支出（类）行政事业单位养老支出（款）机关事业单位基本养老保险缴费支出（项）33.54万元，主要用于在职人员的养老保险缴费支出。</w:t>
      </w: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color w:val="000000" w:themeColor="text1"/>
          <w:kern w:val="0"/>
          <w:sz w:val="32"/>
          <w:szCs w:val="32"/>
          <w:lang w:val="en-US" w:eastAsia="zh-CN" w:bidi="ar-SA"/>
        </w:rPr>
      </w:pPr>
      <w:r>
        <w:rPr>
          <w:rFonts w:hint="eastAsia" w:ascii="仿宋" w:hAnsi="仿宋" w:eastAsia="仿宋" w:cs="仿宋"/>
          <w:color w:val="000000" w:themeColor="text1"/>
          <w:kern w:val="0"/>
          <w:sz w:val="32"/>
          <w:szCs w:val="32"/>
          <w:lang w:val="en-US" w:eastAsia="zh-CN" w:bidi="ar-SA"/>
        </w:rPr>
        <w:t>（7）社会保障和就业支出（类）行政事业单位养老支出（款）机关事业单位职业年金缴费支出（项）16.77万元，主要用于在职人员的职业年金支出。</w:t>
      </w: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color w:val="000000" w:themeColor="text1"/>
          <w:kern w:val="0"/>
          <w:sz w:val="32"/>
          <w:szCs w:val="32"/>
          <w:lang w:val="en-US" w:eastAsia="zh-CN" w:bidi="ar-SA"/>
        </w:rPr>
      </w:pPr>
      <w:r>
        <w:rPr>
          <w:rFonts w:hint="eastAsia" w:ascii="仿宋" w:hAnsi="仿宋" w:eastAsia="仿宋" w:cs="仿宋"/>
          <w:color w:val="000000" w:themeColor="text1"/>
          <w:kern w:val="0"/>
          <w:sz w:val="32"/>
          <w:szCs w:val="32"/>
          <w:lang w:val="en-US" w:eastAsia="zh-CN" w:bidi="ar-SA"/>
        </w:rPr>
        <w:t>（8）卫生健康支出（类）行政事业单位医疗（款）行政单位医疗（项）23.2万元，主要用于在职人员的医保支出。</w:t>
      </w: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color w:val="000000" w:themeColor="text1"/>
          <w:kern w:val="0"/>
          <w:sz w:val="32"/>
          <w:szCs w:val="32"/>
          <w:lang w:val="en-US" w:eastAsia="zh-CN" w:bidi="ar-SA"/>
        </w:rPr>
      </w:pPr>
      <w:r>
        <w:rPr>
          <w:rFonts w:hint="eastAsia" w:ascii="仿宋" w:hAnsi="仿宋" w:eastAsia="仿宋" w:cs="仿宋"/>
          <w:color w:val="000000" w:themeColor="text1"/>
          <w:kern w:val="0"/>
          <w:sz w:val="32"/>
          <w:szCs w:val="32"/>
          <w:lang w:val="en-US" w:eastAsia="zh-CN" w:bidi="ar-SA"/>
        </w:rPr>
        <w:t>（9）卫生健康支出（类） 行政事业单位医疗（款）事业单位医疗（项）23.2万元，主要用于在职事业人员的医保支出。</w:t>
      </w: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color w:val="000000" w:themeColor="text1"/>
          <w:kern w:val="0"/>
          <w:sz w:val="32"/>
          <w:szCs w:val="32"/>
          <w:lang w:val="en-US" w:eastAsia="zh-CN" w:bidi="ar-SA"/>
        </w:rPr>
      </w:pPr>
      <w:r>
        <w:rPr>
          <w:rFonts w:hint="eastAsia" w:ascii="仿宋" w:hAnsi="仿宋" w:eastAsia="仿宋" w:cs="仿宋"/>
          <w:color w:val="000000" w:themeColor="text1"/>
          <w:kern w:val="0"/>
          <w:sz w:val="32"/>
          <w:szCs w:val="32"/>
          <w:lang w:val="en-US" w:eastAsia="zh-CN" w:bidi="ar-SA"/>
        </w:rPr>
        <w:t>（10）住房保障支出（类）住房改革支出（款）住房公积金（项）59.98万元，主要要用于在职人员的公积金支出。</w:t>
      </w: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ascii="楷体_GB2312" w:hAnsi="楷体_GB2312" w:eastAsia="楷体_GB2312" w:cs="楷体_GB2312"/>
          <w:b/>
          <w:color w:val="000000"/>
          <w:sz w:val="32"/>
          <w:szCs w:val="32"/>
        </w:rPr>
      </w:pPr>
      <w:r>
        <w:rPr>
          <w:rFonts w:hint="eastAsia" w:ascii="楷体" w:hAnsi="楷体" w:eastAsia="楷体" w:cs="楷体_GB2312"/>
          <w:color w:val="000000"/>
          <w:sz w:val="32"/>
          <w:szCs w:val="32"/>
        </w:rPr>
        <w:t>（六）关于</w:t>
      </w:r>
      <w:r>
        <w:rPr>
          <w:rFonts w:hint="eastAsia" w:ascii="楷体" w:hAnsi="楷体" w:eastAsia="楷体" w:cs="楷体_GB2312"/>
          <w:color w:val="000000"/>
          <w:sz w:val="32"/>
          <w:szCs w:val="32"/>
          <w:lang w:eastAsia="zh-CN"/>
        </w:rPr>
        <w:t>金华市</w:t>
      </w:r>
      <w:r>
        <w:rPr>
          <w:rFonts w:hint="eastAsia" w:ascii="楷体" w:hAnsi="楷体" w:eastAsia="楷体" w:cs="楷体_GB2312"/>
          <w:color w:val="000000"/>
          <w:sz w:val="32"/>
          <w:szCs w:val="32"/>
        </w:rPr>
        <w:t>投资促进中心</w:t>
      </w:r>
      <w:r>
        <w:rPr>
          <w:rFonts w:hint="eastAsia" w:ascii="楷体" w:hAnsi="楷体" w:eastAsia="楷体"/>
          <w:bCs/>
          <w:color w:val="000000"/>
          <w:sz w:val="32"/>
          <w:szCs w:val="32"/>
        </w:rPr>
        <w:t>202</w:t>
      </w:r>
      <w:r>
        <w:rPr>
          <w:rFonts w:hint="eastAsia" w:ascii="楷体" w:hAnsi="楷体" w:eastAsia="楷体"/>
          <w:bCs/>
          <w:color w:val="000000"/>
          <w:sz w:val="32"/>
          <w:szCs w:val="32"/>
          <w:lang w:val="en-US" w:eastAsia="zh-CN"/>
        </w:rPr>
        <w:t>2</w:t>
      </w:r>
      <w:r>
        <w:rPr>
          <w:rFonts w:hint="eastAsia" w:ascii="楷体" w:hAnsi="楷体" w:eastAsia="楷体"/>
          <w:bCs/>
          <w:color w:val="000000"/>
          <w:sz w:val="32"/>
          <w:szCs w:val="32"/>
        </w:rPr>
        <w:t>年</w:t>
      </w:r>
      <w:r>
        <w:rPr>
          <w:rFonts w:hint="eastAsia" w:ascii="楷体" w:hAnsi="楷体" w:eastAsia="楷体" w:cs="楷体_GB2312"/>
          <w:color w:val="000000"/>
          <w:sz w:val="32"/>
          <w:szCs w:val="32"/>
        </w:rPr>
        <w:t>一般公共预算基本支出情况说明</w:t>
      </w: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color w:val="000000" w:themeColor="text1"/>
          <w:kern w:val="0"/>
          <w:sz w:val="32"/>
          <w:szCs w:val="32"/>
          <w:lang w:val="en-US" w:eastAsia="zh-CN" w:bidi="ar-SA"/>
        </w:rPr>
      </w:pPr>
      <w:r>
        <w:rPr>
          <w:rFonts w:hint="eastAsia" w:ascii="仿宋" w:hAnsi="仿宋" w:eastAsia="仿宋" w:cs="仿宋"/>
          <w:color w:val="000000" w:themeColor="text1"/>
          <w:kern w:val="0"/>
          <w:sz w:val="32"/>
          <w:szCs w:val="32"/>
          <w:lang w:val="en-US" w:eastAsia="zh-CN" w:bidi="ar-SA"/>
        </w:rPr>
        <w:t>金华市投资促进中心2022年一般公共预算基本支出693.85万元，其中：</w:t>
      </w: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color w:val="000000" w:themeColor="text1"/>
          <w:kern w:val="0"/>
          <w:sz w:val="32"/>
          <w:szCs w:val="32"/>
          <w:lang w:val="en-US" w:eastAsia="zh-CN" w:bidi="ar-SA"/>
        </w:rPr>
      </w:pPr>
      <w:r>
        <w:rPr>
          <w:rFonts w:hint="eastAsia" w:ascii="仿宋" w:hAnsi="仿宋" w:eastAsia="仿宋" w:cs="仿宋"/>
          <w:color w:val="000000" w:themeColor="text1"/>
          <w:kern w:val="0"/>
          <w:sz w:val="32"/>
          <w:szCs w:val="32"/>
          <w:lang w:val="en-US" w:eastAsia="zh-CN" w:bidi="ar-SA"/>
        </w:rPr>
        <w:t>人员经费597.24万元，主要包括：基本工资、津贴补贴、奖金、机关事业单位基本养老保险缴费、职业年金缴费、职工基本医疗保险缴费、公务员医疗补助缴费、其他社会保障缴费、住房公积金、其他工资福利支出、退休费、生活补助等；</w:t>
      </w: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color w:val="000000" w:themeColor="text1"/>
          <w:kern w:val="0"/>
          <w:sz w:val="32"/>
          <w:szCs w:val="32"/>
          <w:lang w:val="en-US" w:eastAsia="zh-CN" w:bidi="ar-SA"/>
        </w:rPr>
      </w:pPr>
      <w:r>
        <w:rPr>
          <w:rFonts w:hint="eastAsia" w:ascii="仿宋" w:hAnsi="仿宋" w:eastAsia="仿宋" w:cs="仿宋"/>
          <w:color w:val="000000" w:themeColor="text1"/>
          <w:kern w:val="0"/>
          <w:sz w:val="32"/>
          <w:szCs w:val="32"/>
          <w:lang w:val="en-US" w:eastAsia="zh-CN" w:bidi="ar-SA"/>
        </w:rPr>
        <w:t>公用经费96.61万元，主要包括：办公费、印刷费、邮电费、差旅费、维修（护）费、会议费、培训费、公务接待费、劳务费、工会经费、福利费、其他交通费用、其他商品和服务支出、其他对个人和家庭的补助等。</w:t>
      </w: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ascii="楷体" w:hAnsi="楷体" w:eastAsia="楷体" w:cs="楷体_GB2312"/>
          <w:color w:val="000000"/>
          <w:sz w:val="32"/>
          <w:szCs w:val="32"/>
        </w:rPr>
      </w:pPr>
      <w:r>
        <w:rPr>
          <w:rFonts w:hint="eastAsia" w:ascii="楷体" w:hAnsi="楷体" w:eastAsia="楷体" w:cs="楷体_GB2312"/>
          <w:color w:val="000000"/>
          <w:sz w:val="32"/>
          <w:szCs w:val="32"/>
        </w:rPr>
        <w:t>（七）关于</w:t>
      </w:r>
      <w:r>
        <w:rPr>
          <w:rFonts w:hint="eastAsia" w:ascii="楷体" w:hAnsi="楷体" w:eastAsia="楷体" w:cs="楷体_GB2312"/>
          <w:color w:val="000000"/>
          <w:sz w:val="32"/>
          <w:szCs w:val="32"/>
          <w:lang w:eastAsia="zh-CN"/>
        </w:rPr>
        <w:t>金华市</w:t>
      </w:r>
      <w:r>
        <w:rPr>
          <w:rFonts w:hint="eastAsia" w:ascii="楷体" w:hAnsi="楷体" w:eastAsia="楷体" w:cs="楷体_GB2312"/>
          <w:color w:val="000000"/>
          <w:sz w:val="32"/>
          <w:szCs w:val="32"/>
        </w:rPr>
        <w:t>投资促进中心</w:t>
      </w:r>
      <w:r>
        <w:rPr>
          <w:rFonts w:hint="eastAsia" w:ascii="楷体" w:hAnsi="楷体" w:eastAsia="楷体"/>
          <w:bCs/>
          <w:color w:val="000000"/>
          <w:sz w:val="32"/>
          <w:szCs w:val="32"/>
        </w:rPr>
        <w:t>202</w:t>
      </w:r>
      <w:r>
        <w:rPr>
          <w:rFonts w:hint="eastAsia" w:ascii="楷体" w:hAnsi="楷体" w:eastAsia="楷体"/>
          <w:bCs/>
          <w:color w:val="000000"/>
          <w:sz w:val="32"/>
          <w:szCs w:val="32"/>
          <w:lang w:val="en-US" w:eastAsia="zh-CN"/>
        </w:rPr>
        <w:t>2</w:t>
      </w:r>
      <w:r>
        <w:rPr>
          <w:rFonts w:hint="eastAsia" w:ascii="楷体" w:hAnsi="楷体" w:eastAsia="楷体"/>
          <w:bCs/>
          <w:color w:val="000000"/>
          <w:sz w:val="32"/>
          <w:szCs w:val="32"/>
        </w:rPr>
        <w:t>年</w:t>
      </w:r>
      <w:r>
        <w:rPr>
          <w:rFonts w:hint="eastAsia" w:ascii="楷体" w:hAnsi="楷体" w:eastAsia="楷体" w:cs="楷体_GB2312"/>
          <w:color w:val="000000"/>
          <w:sz w:val="32"/>
          <w:szCs w:val="32"/>
        </w:rPr>
        <w:t>政府性基金预算支出情况说明</w:t>
      </w: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color w:val="000000" w:themeColor="text1"/>
          <w:kern w:val="0"/>
          <w:sz w:val="32"/>
          <w:szCs w:val="32"/>
          <w:lang w:val="en-US" w:eastAsia="zh-CN" w:bidi="ar-SA"/>
        </w:rPr>
      </w:pPr>
      <w:r>
        <w:rPr>
          <w:rFonts w:hint="eastAsia" w:ascii="仿宋" w:hAnsi="仿宋" w:eastAsia="仿宋" w:cs="仿宋"/>
          <w:color w:val="000000" w:themeColor="text1"/>
          <w:kern w:val="0"/>
          <w:sz w:val="32"/>
          <w:szCs w:val="32"/>
          <w:lang w:val="en-US" w:eastAsia="zh-CN" w:bidi="ar-SA"/>
        </w:rPr>
        <w:t>金华市投资促进中心2022年没有使用政府性基金预算拨款安排的支出。</w:t>
      </w:r>
    </w:p>
    <w:p>
      <w:pPr>
        <w:pStyle w:val="2"/>
        <w:ind w:firstLine="640"/>
        <w:rPr>
          <w:rFonts w:hint="eastAsia" w:ascii="楷体" w:hAnsi="楷体" w:eastAsia="楷体" w:cs="楷体_GB2312"/>
          <w:color w:val="000000"/>
          <w:kern w:val="2"/>
          <w:sz w:val="32"/>
          <w:szCs w:val="32"/>
          <w:lang w:val="en-US" w:eastAsia="zh-CN" w:bidi="ar-SA"/>
        </w:rPr>
      </w:pPr>
      <w:r>
        <w:rPr>
          <w:rFonts w:hint="eastAsia" w:ascii="楷体" w:hAnsi="楷体" w:eastAsia="楷体" w:cs="楷体_GB2312"/>
          <w:color w:val="000000"/>
          <w:kern w:val="2"/>
          <w:sz w:val="32"/>
          <w:szCs w:val="32"/>
          <w:lang w:val="en-US" w:eastAsia="zh-CN" w:bidi="ar-SA"/>
        </w:rPr>
        <w:t>（八）关于金华市投资促进中心2022年国有资本经营预算支出情况说明</w:t>
      </w: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楷体" w:hAnsi="楷体" w:eastAsia="楷体" w:cs="楷体_GB2312"/>
          <w:color w:val="000000"/>
          <w:kern w:val="2"/>
          <w:sz w:val="32"/>
          <w:szCs w:val="32"/>
          <w:lang w:val="en-US" w:eastAsia="zh-CN" w:bidi="ar-SA"/>
        </w:rPr>
      </w:pPr>
      <w:r>
        <w:rPr>
          <w:rFonts w:hint="eastAsia" w:ascii="仿宋" w:hAnsi="仿宋" w:eastAsia="仿宋" w:cs="仿宋"/>
          <w:color w:val="000000" w:themeColor="text1"/>
          <w:kern w:val="0"/>
          <w:sz w:val="32"/>
          <w:szCs w:val="32"/>
          <w:lang w:val="en-US" w:eastAsia="zh-CN" w:bidi="ar-SA"/>
        </w:rPr>
        <w:t>金华市投资促进中心2022年没有使用</w:t>
      </w:r>
      <w:r>
        <w:rPr>
          <w:rFonts w:hint="eastAsia" w:ascii="仿宋_GB2312" w:hAnsi="仿宋_GB2312" w:eastAsia="仿宋_GB2312" w:cs="仿宋_GB2312"/>
          <w:color w:val="000000"/>
          <w:kern w:val="2"/>
          <w:sz w:val="32"/>
          <w:szCs w:val="32"/>
          <w:lang w:val="en-US" w:eastAsia="zh-CN" w:bidi="ar-SA"/>
        </w:rPr>
        <w:t>国有资本经营</w:t>
      </w:r>
      <w:r>
        <w:rPr>
          <w:rFonts w:hint="eastAsia" w:ascii="仿宋" w:hAnsi="仿宋" w:eastAsia="仿宋" w:cs="仿宋"/>
          <w:color w:val="000000" w:themeColor="text1"/>
          <w:kern w:val="0"/>
          <w:sz w:val="32"/>
          <w:szCs w:val="32"/>
          <w:lang w:val="en-US" w:eastAsia="zh-CN" w:bidi="ar-SA"/>
        </w:rPr>
        <w:t>预算拨款安排的支出。</w:t>
      </w: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ascii="楷体" w:hAnsi="楷体" w:eastAsia="楷体" w:cs="楷体_GB2312"/>
          <w:color w:val="000000"/>
          <w:sz w:val="32"/>
          <w:szCs w:val="32"/>
        </w:rPr>
      </w:pPr>
      <w:r>
        <w:rPr>
          <w:rFonts w:hint="eastAsia" w:ascii="楷体" w:hAnsi="楷体" w:eastAsia="楷体" w:cs="楷体_GB2312"/>
          <w:color w:val="000000"/>
          <w:sz w:val="32"/>
          <w:szCs w:val="32"/>
        </w:rPr>
        <w:t>（</w:t>
      </w:r>
      <w:r>
        <w:rPr>
          <w:rFonts w:hint="eastAsia" w:ascii="楷体" w:hAnsi="楷体" w:eastAsia="楷体" w:cs="楷体_GB2312"/>
          <w:color w:val="000000"/>
          <w:sz w:val="32"/>
          <w:szCs w:val="32"/>
          <w:lang w:eastAsia="zh-CN"/>
        </w:rPr>
        <w:t>九</w:t>
      </w:r>
      <w:r>
        <w:rPr>
          <w:rFonts w:hint="eastAsia" w:ascii="楷体" w:hAnsi="楷体" w:eastAsia="楷体" w:cs="楷体_GB2312"/>
          <w:color w:val="000000"/>
          <w:sz w:val="32"/>
          <w:szCs w:val="32"/>
        </w:rPr>
        <w:t>）关于</w:t>
      </w:r>
      <w:r>
        <w:rPr>
          <w:rFonts w:hint="eastAsia" w:ascii="楷体" w:hAnsi="楷体" w:eastAsia="楷体" w:cs="楷体_GB2312"/>
          <w:color w:val="000000"/>
          <w:sz w:val="32"/>
          <w:szCs w:val="32"/>
          <w:lang w:eastAsia="zh-CN"/>
        </w:rPr>
        <w:t>金华市</w:t>
      </w:r>
      <w:r>
        <w:rPr>
          <w:rFonts w:hint="eastAsia" w:ascii="楷体" w:hAnsi="楷体" w:eastAsia="楷体" w:cs="楷体_GB2312"/>
          <w:color w:val="000000"/>
          <w:sz w:val="32"/>
          <w:szCs w:val="32"/>
        </w:rPr>
        <w:t>投资促进中心</w:t>
      </w:r>
      <w:r>
        <w:rPr>
          <w:rFonts w:hint="eastAsia" w:ascii="楷体" w:hAnsi="楷体" w:eastAsia="楷体"/>
          <w:bCs/>
          <w:color w:val="000000"/>
          <w:sz w:val="32"/>
          <w:szCs w:val="32"/>
        </w:rPr>
        <w:t>202</w:t>
      </w:r>
      <w:r>
        <w:rPr>
          <w:rFonts w:hint="eastAsia" w:ascii="楷体" w:hAnsi="楷体" w:eastAsia="楷体"/>
          <w:bCs/>
          <w:color w:val="000000"/>
          <w:sz w:val="32"/>
          <w:szCs w:val="32"/>
          <w:lang w:val="en-US" w:eastAsia="zh-CN"/>
        </w:rPr>
        <w:t>2</w:t>
      </w:r>
      <w:r>
        <w:rPr>
          <w:rFonts w:hint="eastAsia" w:ascii="楷体" w:hAnsi="楷体" w:eastAsia="楷体"/>
          <w:bCs/>
          <w:color w:val="000000"/>
          <w:sz w:val="32"/>
          <w:szCs w:val="32"/>
        </w:rPr>
        <w:t>年</w:t>
      </w:r>
      <w:r>
        <w:rPr>
          <w:rFonts w:hint="eastAsia" w:ascii="楷体" w:hAnsi="楷体" w:eastAsia="楷体" w:cs="楷体_GB2312"/>
          <w:color w:val="000000"/>
          <w:sz w:val="32"/>
          <w:szCs w:val="32"/>
        </w:rPr>
        <w:t>一般公共预算“三公”经费预算情况说明</w:t>
      </w: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color w:val="000000" w:themeColor="text1"/>
          <w:kern w:val="0"/>
          <w:sz w:val="32"/>
          <w:szCs w:val="32"/>
          <w:lang w:val="en-US" w:eastAsia="zh-CN" w:bidi="ar-SA"/>
        </w:rPr>
      </w:pPr>
      <w:r>
        <w:rPr>
          <w:rFonts w:hint="eastAsia" w:ascii="仿宋" w:hAnsi="仿宋" w:eastAsia="仿宋" w:cs="仿宋"/>
          <w:color w:val="000000" w:themeColor="text1"/>
          <w:kern w:val="0"/>
          <w:sz w:val="32"/>
          <w:szCs w:val="32"/>
          <w:lang w:val="en-US" w:eastAsia="zh-CN" w:bidi="ar-SA"/>
        </w:rPr>
        <w:t>金华市投资促进中心2022年一般公共预算“三公”经费预算数为7.5万元，比2021年执行数减少0.5万元，下降93.8%，具体如下：</w:t>
      </w:r>
    </w:p>
    <w:p>
      <w:pPr>
        <w:keepNext w:val="0"/>
        <w:keepLines w:val="0"/>
        <w:pageBreakBefore w:val="0"/>
        <w:kinsoku/>
        <w:overflowPunct/>
        <w:topLinePunct w:val="0"/>
        <w:autoSpaceDE/>
        <w:autoSpaceDN/>
        <w:bidi w:val="0"/>
        <w:adjustRightInd/>
        <w:spacing w:beforeAutospacing="0" w:afterAutospacing="0" w:line="540" w:lineRule="exact"/>
        <w:ind w:right="0" w:rightChars="0" w:firstLine="640" w:firstLineChars="200"/>
        <w:textAlignment w:val="auto"/>
        <w:outlineLvl w:val="9"/>
        <w:rPr>
          <w:rFonts w:hint="eastAsia" w:ascii="仿宋" w:hAnsi="仿宋" w:eastAsia="仿宋" w:cs="仿宋"/>
          <w:color w:val="000000" w:themeColor="text1"/>
          <w:kern w:val="0"/>
          <w:sz w:val="32"/>
          <w:szCs w:val="32"/>
          <w:lang w:val="en-US" w:eastAsia="zh-CN" w:bidi="ar-SA"/>
        </w:rPr>
      </w:pPr>
      <w:r>
        <w:rPr>
          <w:rFonts w:hint="eastAsia" w:ascii="仿宋" w:hAnsi="仿宋" w:eastAsia="仿宋" w:cs="仿宋"/>
          <w:color w:val="000000" w:themeColor="text1"/>
          <w:kern w:val="0"/>
          <w:sz w:val="32"/>
          <w:szCs w:val="32"/>
          <w:lang w:val="en-US" w:eastAsia="zh-CN" w:bidi="ar-SA"/>
        </w:rPr>
        <w:t>1.因公出国（境）费用：2022年部门预算未安排因公出国（境）费用，与上年执行数持平，年中将根据市外事侨务办安排的因公出国计划和实际工作需要追加指标。</w:t>
      </w:r>
    </w:p>
    <w:p>
      <w:pPr>
        <w:keepNext w:val="0"/>
        <w:keepLines w:val="0"/>
        <w:pageBreakBefore w:val="0"/>
        <w:numPr>
          <w:ilvl w:val="0"/>
          <w:numId w:val="0"/>
        </w:numPr>
        <w:kinsoku/>
        <w:overflowPunct/>
        <w:topLinePunct w:val="0"/>
        <w:autoSpaceDE/>
        <w:autoSpaceDN/>
        <w:bidi w:val="0"/>
        <w:adjustRightInd/>
        <w:spacing w:beforeAutospacing="0" w:afterAutospacing="0" w:line="540" w:lineRule="exact"/>
        <w:ind w:left="0" w:leftChars="0" w:right="0" w:rightChars="0" w:firstLine="739" w:firstLineChars="231"/>
        <w:textAlignment w:val="auto"/>
        <w:outlineLvl w:val="9"/>
        <w:rPr>
          <w:rFonts w:hint="eastAsia" w:ascii="仿宋" w:hAnsi="仿宋" w:eastAsia="仿宋" w:cs="仿宋"/>
          <w:color w:val="000000" w:themeColor="text1"/>
          <w:kern w:val="0"/>
          <w:sz w:val="32"/>
          <w:szCs w:val="32"/>
          <w:lang w:val="en-US" w:eastAsia="zh-CN" w:bidi="ar-SA"/>
        </w:rPr>
      </w:pPr>
      <w:r>
        <w:rPr>
          <w:rFonts w:hint="eastAsia" w:ascii="仿宋" w:hAnsi="仿宋" w:eastAsia="仿宋" w:cs="仿宋"/>
          <w:color w:val="000000" w:themeColor="text1"/>
          <w:kern w:val="0"/>
          <w:sz w:val="32"/>
          <w:szCs w:val="32"/>
          <w:lang w:val="en-US" w:eastAsia="zh-CN" w:bidi="ar-SA"/>
        </w:rPr>
        <w:t>2.公务接待费：2022年安排公务接待费预算7.5万元，比上年执行数下降93.8%。主要用于接待来金考察客商等支出。减少的主要原因是2022年因疫情影响接待费偏少。</w:t>
      </w:r>
    </w:p>
    <w:p>
      <w:pPr>
        <w:spacing w:line="324" w:lineRule="auto"/>
        <w:ind w:firstLine="594"/>
        <w:rPr>
          <w:rFonts w:hint="eastAsia" w:ascii="仿宋" w:hAnsi="仿宋" w:eastAsia="仿宋" w:cs="仿宋"/>
          <w:color w:val="000000" w:themeColor="text1"/>
          <w:kern w:val="0"/>
          <w:sz w:val="32"/>
          <w:szCs w:val="32"/>
          <w:lang w:val="en-US" w:eastAsia="zh-CN" w:bidi="ar-SA"/>
        </w:rPr>
      </w:pPr>
      <w:r>
        <w:rPr>
          <w:rFonts w:hint="eastAsia" w:ascii="仿宋" w:hAnsi="仿宋" w:eastAsia="仿宋" w:cs="仿宋"/>
          <w:color w:val="000000" w:themeColor="text1"/>
          <w:kern w:val="0"/>
          <w:sz w:val="32"/>
          <w:szCs w:val="32"/>
          <w:lang w:val="en-US" w:eastAsia="zh-CN" w:bidi="ar-SA"/>
        </w:rPr>
        <w:t>3.公务用车购置及运行维护费：2022年安排公务用车购置及运行维护费预算0万元，与2021年执行数持平，原因是</w:t>
      </w:r>
      <w:r>
        <w:rPr>
          <w:rFonts w:hint="eastAsia" w:ascii="仿宋" w:hAnsi="仿宋" w:eastAsia="仿宋"/>
          <w:color w:val="000000"/>
          <w:sz w:val="32"/>
          <w:szCs w:val="24"/>
          <w:highlight w:val="white"/>
        </w:rPr>
        <w:t>本部门</w:t>
      </w:r>
      <w:r>
        <w:rPr>
          <w:rFonts w:hint="eastAsia" w:ascii="仿宋" w:hAnsi="仿宋" w:eastAsia="仿宋"/>
          <w:color w:val="000000"/>
          <w:sz w:val="32"/>
          <w:szCs w:val="24"/>
          <w:highlight w:val="white"/>
          <w:lang w:val="en-US" w:eastAsia="zh-CN"/>
        </w:rPr>
        <w:t>2022年</w:t>
      </w:r>
      <w:r>
        <w:rPr>
          <w:rFonts w:hint="eastAsia" w:ascii="仿宋" w:hAnsi="仿宋" w:eastAsia="仿宋"/>
          <w:color w:val="000000"/>
          <w:sz w:val="32"/>
          <w:szCs w:val="24"/>
          <w:highlight w:val="white"/>
        </w:rPr>
        <w:t>无公务用车购置及运行维护费安排，故无相关数据。</w:t>
      </w:r>
      <w:r>
        <w:rPr>
          <w:rFonts w:hint="eastAsia" w:ascii="仿宋" w:hAnsi="仿宋" w:eastAsia="仿宋" w:cs="仿宋"/>
          <w:color w:val="000000" w:themeColor="text1"/>
          <w:kern w:val="0"/>
          <w:sz w:val="32"/>
          <w:szCs w:val="32"/>
          <w:lang w:val="en-US" w:eastAsia="zh-CN" w:bidi="ar-SA"/>
        </w:rPr>
        <w:t>其中，公务用车购置支出0万元（含购置税等附加费用），主要用于经批准购置的0辆公务用车；公务用车运行维护费支出0万元，主要用于所需的公务用车燃料费、维修费、过桥过路费、保险费、安全奖励费用等支出。</w:t>
      </w: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ascii="楷体" w:hAnsi="楷体" w:eastAsia="楷体" w:cs="楷体_GB2312"/>
          <w:color w:val="000000"/>
          <w:sz w:val="32"/>
          <w:szCs w:val="32"/>
        </w:rPr>
      </w:pPr>
      <w:r>
        <w:rPr>
          <w:rFonts w:hint="eastAsia" w:ascii="楷体" w:hAnsi="楷体" w:eastAsia="楷体" w:cs="楷体_GB2312"/>
          <w:color w:val="000000"/>
          <w:sz w:val="32"/>
          <w:szCs w:val="32"/>
        </w:rPr>
        <w:t>（</w:t>
      </w:r>
      <w:r>
        <w:rPr>
          <w:rFonts w:hint="eastAsia" w:ascii="楷体" w:hAnsi="楷体" w:eastAsia="楷体" w:cs="楷体_GB2312"/>
          <w:color w:val="000000"/>
          <w:sz w:val="32"/>
          <w:szCs w:val="32"/>
          <w:lang w:eastAsia="zh-CN"/>
        </w:rPr>
        <w:t>十</w:t>
      </w:r>
      <w:r>
        <w:rPr>
          <w:rFonts w:hint="eastAsia" w:ascii="楷体" w:hAnsi="楷体" w:eastAsia="楷体" w:cs="楷体_GB2312"/>
          <w:color w:val="000000"/>
          <w:sz w:val="32"/>
          <w:szCs w:val="32"/>
        </w:rPr>
        <w:t>）其他重要事项的情况说明</w:t>
      </w: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ascii="仿宋_GB2312" w:eastAsia="仿宋_GB2312"/>
          <w:b/>
          <w:bCs/>
          <w:sz w:val="32"/>
          <w:szCs w:val="32"/>
        </w:rPr>
      </w:pPr>
      <w:r>
        <w:rPr>
          <w:rFonts w:hint="eastAsia" w:ascii="仿宋_GB2312" w:eastAsia="仿宋_GB2312"/>
          <w:b/>
          <w:bCs/>
          <w:sz w:val="32"/>
          <w:szCs w:val="32"/>
        </w:rPr>
        <w:t>1.机关运行经费</w:t>
      </w: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color w:val="000000" w:themeColor="text1"/>
          <w:kern w:val="0"/>
          <w:sz w:val="32"/>
          <w:szCs w:val="32"/>
          <w:lang w:val="en-US" w:eastAsia="zh-CN" w:bidi="ar-SA"/>
        </w:rPr>
      </w:pPr>
      <w:r>
        <w:rPr>
          <w:rFonts w:hint="eastAsia" w:ascii="仿宋" w:hAnsi="仿宋" w:eastAsia="仿宋" w:cs="仿宋"/>
          <w:color w:val="000000" w:themeColor="text1"/>
          <w:kern w:val="0"/>
          <w:sz w:val="32"/>
          <w:szCs w:val="32"/>
          <w:lang w:val="en-US" w:eastAsia="zh-CN" w:bidi="ar-SA"/>
        </w:rPr>
        <w:t>2022年金华市投资促进中心本级1家参公事业单位的机关运行经费财政拨款预算96.61万元，比2021年预算增加2.48万元，增长2.6%，主要是电子政务项目维护费。</w:t>
      </w:r>
    </w:p>
    <w:p>
      <w:pPr>
        <w:pStyle w:val="11"/>
        <w:keepNext w:val="0"/>
        <w:keepLines w:val="0"/>
        <w:pageBreakBefore w:val="0"/>
        <w:widowControl w:val="0"/>
        <w:numPr>
          <w:ilvl w:val="0"/>
          <w:numId w:val="4"/>
        </w:numPr>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政府采购情况</w:t>
      </w: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color w:val="000000" w:themeColor="text1"/>
          <w:kern w:val="0"/>
          <w:sz w:val="32"/>
          <w:szCs w:val="32"/>
          <w:lang w:val="en-US" w:eastAsia="zh-CN" w:bidi="ar-SA"/>
        </w:rPr>
      </w:pPr>
      <w:r>
        <w:rPr>
          <w:rFonts w:hint="eastAsia" w:ascii="仿宋" w:hAnsi="仿宋" w:eastAsia="仿宋" w:cs="仿宋"/>
          <w:color w:val="000000" w:themeColor="text1"/>
          <w:kern w:val="0"/>
          <w:sz w:val="32"/>
          <w:szCs w:val="32"/>
          <w:lang w:val="en-US" w:eastAsia="zh-CN" w:bidi="ar-SA"/>
        </w:rPr>
        <w:t>2022年金华市投资促进中心所属各预算单位采购预算总额0万元，其中：政府采购货物预算0万元、政府采购工程预算0万元、政府采购服务预算0万元。</w:t>
      </w:r>
    </w:p>
    <w:p>
      <w:pPr>
        <w:pStyle w:val="11"/>
        <w:keepNext w:val="0"/>
        <w:keepLines w:val="0"/>
        <w:pageBreakBefore w:val="0"/>
        <w:widowControl w:val="0"/>
        <w:numPr>
          <w:ilvl w:val="0"/>
          <w:numId w:val="4"/>
        </w:numPr>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_GB2312" w:eastAsia="仿宋_GB2312"/>
          <w:b/>
          <w:bCs/>
          <w:sz w:val="32"/>
          <w:szCs w:val="32"/>
        </w:rPr>
      </w:pPr>
      <w:r>
        <w:rPr>
          <w:rFonts w:hint="eastAsia" w:ascii="仿宋_GB2312" w:eastAsia="仿宋_GB2312"/>
          <w:b/>
          <w:bCs/>
          <w:sz w:val="32"/>
          <w:szCs w:val="32"/>
        </w:rPr>
        <w:t>国有资产占有使用情况</w:t>
      </w:r>
    </w:p>
    <w:p>
      <w:pPr>
        <w:pStyle w:val="11"/>
        <w:keepNext w:val="0"/>
        <w:keepLines w:val="0"/>
        <w:pageBreakBefore w:val="0"/>
        <w:widowControl w:val="0"/>
        <w:numPr>
          <w:ilvl w:val="0"/>
          <w:numId w:val="0"/>
        </w:numPr>
        <w:kinsoku/>
        <w:overflowPunct/>
        <w:topLinePunct w:val="0"/>
        <w:autoSpaceDE/>
        <w:autoSpaceDN/>
        <w:bidi w:val="0"/>
        <w:adjustRightInd/>
        <w:spacing w:beforeAutospacing="0" w:afterAutospacing="0" w:line="540" w:lineRule="exact"/>
        <w:ind w:left="0" w:leftChars="0" w:right="0" w:rightChars="0" w:firstLine="419" w:firstLineChars="131"/>
        <w:jc w:val="left"/>
        <w:textAlignment w:val="auto"/>
        <w:outlineLvl w:val="9"/>
        <w:rPr>
          <w:rFonts w:hint="eastAsia" w:ascii="仿宋_GB2312" w:eastAsia="仿宋_GB2312"/>
          <w:b w:val="0"/>
          <w:bCs w:val="0"/>
          <w:sz w:val="32"/>
          <w:szCs w:val="32"/>
        </w:rPr>
      </w:pPr>
      <w:r>
        <w:rPr>
          <w:rFonts w:hint="eastAsia" w:ascii="仿宋_GB2312" w:eastAsia="仿宋_GB2312"/>
          <w:b w:val="0"/>
          <w:bCs w:val="0"/>
          <w:sz w:val="32"/>
          <w:szCs w:val="32"/>
          <w:lang w:eastAsia="zh-CN"/>
        </w:rPr>
        <w:t>　</w:t>
      </w:r>
      <w:r>
        <w:rPr>
          <w:rFonts w:hint="eastAsia" w:ascii="仿宋_GB2312" w:eastAsia="仿宋_GB2312"/>
          <w:b w:val="0"/>
          <w:bCs w:val="0"/>
          <w:sz w:val="32"/>
          <w:szCs w:val="32"/>
        </w:rPr>
        <w:t>截至2021年12月31日，金华市</w:t>
      </w:r>
      <w:r>
        <w:rPr>
          <w:rFonts w:hint="eastAsia" w:ascii="仿宋_GB2312" w:eastAsia="仿宋_GB2312"/>
          <w:b w:val="0"/>
          <w:bCs w:val="0"/>
          <w:sz w:val="32"/>
          <w:szCs w:val="32"/>
          <w:lang w:eastAsia="zh-CN"/>
        </w:rPr>
        <w:t>投资促进中心</w:t>
      </w:r>
      <w:r>
        <w:rPr>
          <w:rFonts w:hint="eastAsia" w:ascii="仿宋_GB2312" w:eastAsia="仿宋_GB2312"/>
          <w:b w:val="0"/>
          <w:bCs w:val="0"/>
          <w:sz w:val="32"/>
          <w:szCs w:val="32"/>
        </w:rPr>
        <w:t>所属各预算单位共有车辆0辆</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单位价值50万元以上通用设备0台（套），单位价值100万元以上专用设备0台（套）</w:t>
      </w:r>
      <w:r>
        <w:rPr>
          <w:rFonts w:hint="eastAsia" w:ascii="仿宋_GB2312" w:eastAsia="仿宋_GB2312"/>
          <w:b w:val="0"/>
          <w:bCs w:val="0"/>
          <w:sz w:val="32"/>
          <w:szCs w:val="32"/>
          <w:lang w:eastAsia="zh-CN"/>
        </w:rPr>
        <w:t>。2022年部门预算未安排购置车辆、单位价值50万元以上通用设备及单位价值100万元以上专用设备。</w:t>
      </w: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ascii="仿宋_GB2312" w:eastAsia="仿宋_GB2312"/>
          <w:b/>
          <w:bCs/>
          <w:sz w:val="32"/>
          <w:szCs w:val="32"/>
        </w:rPr>
      </w:pPr>
      <w:r>
        <w:rPr>
          <w:rFonts w:hint="eastAsia" w:ascii="仿宋_GB2312" w:eastAsia="仿宋_GB2312"/>
          <w:b/>
          <w:bCs/>
          <w:sz w:val="32"/>
          <w:szCs w:val="32"/>
        </w:rPr>
        <w:t>4.绩效目标设置情况</w:t>
      </w:r>
    </w:p>
    <w:p>
      <w:pPr>
        <w:keepNext w:val="0"/>
        <w:keepLines w:val="0"/>
        <w:pageBreakBefore w:val="0"/>
        <w:kinsoku/>
        <w:overflowPunct/>
        <w:topLinePunct w:val="0"/>
        <w:autoSpaceDE/>
        <w:autoSpaceDN/>
        <w:bidi w:val="0"/>
        <w:adjustRightInd/>
        <w:spacing w:beforeAutospacing="0" w:afterAutospacing="0" w:line="540" w:lineRule="exact"/>
        <w:ind w:right="0" w:rightChars="0" w:firstLine="640" w:firstLineChars="200"/>
        <w:textAlignment w:val="auto"/>
        <w:outlineLvl w:val="9"/>
        <w:rPr>
          <w:rFonts w:hint="eastAsia" w:ascii="仿宋" w:hAnsi="仿宋" w:eastAsia="仿宋" w:cs="仿宋"/>
          <w:color w:val="000000" w:themeColor="text1"/>
          <w:kern w:val="0"/>
          <w:sz w:val="32"/>
          <w:szCs w:val="32"/>
          <w:lang w:val="en-US" w:eastAsia="zh-CN" w:bidi="ar-SA"/>
        </w:rPr>
      </w:pPr>
      <w:r>
        <w:rPr>
          <w:rFonts w:hint="eastAsia" w:ascii="仿宋" w:hAnsi="仿宋" w:eastAsia="仿宋" w:cs="仿宋"/>
          <w:color w:val="000000" w:themeColor="text1"/>
          <w:kern w:val="0"/>
          <w:sz w:val="32"/>
          <w:szCs w:val="32"/>
          <w:lang w:val="en-US" w:eastAsia="zh-CN" w:bidi="ar-SA"/>
        </w:rPr>
        <w:t>（1）总体情况。2022年金华市投资促进中心其他运转类项目和特定目标类项目均实行绩效目标管理，涉及一般公共预算当年拨款386.79万元，一级项目5个。</w:t>
      </w: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color w:val="000000" w:themeColor="text1"/>
          <w:kern w:val="0"/>
          <w:sz w:val="32"/>
          <w:szCs w:val="32"/>
          <w:lang w:val="en-US" w:eastAsia="zh-CN" w:bidi="ar-SA"/>
        </w:rPr>
      </w:pPr>
      <w:r>
        <w:rPr>
          <w:rFonts w:hint="eastAsia" w:ascii="仿宋" w:hAnsi="仿宋" w:eastAsia="仿宋" w:cs="仿宋"/>
          <w:color w:val="000000" w:themeColor="text1"/>
          <w:kern w:val="0"/>
          <w:sz w:val="32"/>
          <w:szCs w:val="32"/>
          <w:lang w:val="en-US" w:eastAsia="zh-CN" w:bidi="ar-SA"/>
        </w:rPr>
        <w:t>（2）重点项目情况</w:t>
      </w:r>
    </w:p>
    <w:p>
      <w:pPr>
        <w:keepNext w:val="0"/>
        <w:keepLines w:val="0"/>
        <w:pageBreakBefore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color w:val="0000FF"/>
          <w:kern w:val="0"/>
          <w:sz w:val="32"/>
          <w:szCs w:val="32"/>
          <w:lang w:val="en-US" w:eastAsia="zh-CN" w:bidi="ar-SA"/>
        </w:rPr>
      </w:pPr>
      <w:r>
        <w:rPr>
          <w:rFonts w:hint="eastAsia" w:ascii="仿宋" w:hAnsi="仿宋" w:eastAsia="仿宋" w:cs="仿宋"/>
          <w:color w:val="auto"/>
          <w:kern w:val="0"/>
          <w:sz w:val="32"/>
          <w:szCs w:val="32"/>
          <w:lang w:val="en-US" w:eastAsia="zh-CN" w:bidi="ar-SA"/>
        </w:rPr>
        <w:t>招商引资工作经费100万元，用于招商引资业务工作支出。</w:t>
      </w:r>
      <w:r>
        <w:rPr>
          <w:rFonts w:hint="eastAsia" w:ascii="仿宋" w:hAnsi="仿宋" w:eastAsia="仿宋" w:cs="仿宋"/>
          <w:color w:val="000000" w:themeColor="text1"/>
          <w:kern w:val="0"/>
          <w:sz w:val="32"/>
          <w:szCs w:val="32"/>
          <w:lang w:val="en-US" w:eastAsia="zh-CN" w:bidi="ar-SA"/>
        </w:rPr>
        <w:t>目标是围绕市委市政府中心工作，加强资源整合、市县联动，开展全市招商引资和投资促进工作，做好项目盯引、跟踪，力争全年招引落地10亿元以上制造业项目40个，其中50亿元以上制造业项目6个，签约3亿元以上产业项目200个，落地120个。</w:t>
      </w:r>
    </w:p>
    <w:p>
      <w:pPr>
        <w:ind w:firstLine="640" w:firstLineChars="200"/>
        <w:rPr>
          <w:rFonts w:hint="eastAsia" w:ascii="仿宋" w:hAnsi="仿宋" w:eastAsia="仿宋" w:cs="仿宋"/>
          <w:color w:val="000000" w:themeColor="text1"/>
          <w:kern w:val="0"/>
          <w:sz w:val="32"/>
          <w:szCs w:val="32"/>
          <w:lang w:val="en-US" w:eastAsia="zh-CN" w:bidi="ar-SA"/>
        </w:rPr>
      </w:pPr>
      <w:r>
        <w:rPr>
          <w:rFonts w:hint="eastAsia" w:ascii="仿宋" w:hAnsi="仿宋" w:eastAsia="仿宋" w:cs="仿宋"/>
          <w:color w:val="000000" w:themeColor="text1"/>
          <w:kern w:val="0"/>
          <w:sz w:val="32"/>
          <w:szCs w:val="32"/>
          <w:lang w:val="en-US" w:eastAsia="zh-CN" w:bidi="ar-SA"/>
        </w:rPr>
        <w:t>电子政务项目经费13.18万元，用于</w:t>
      </w:r>
      <w:r>
        <w:rPr>
          <w:rFonts w:hint="eastAsia" w:ascii="仿宋" w:hAnsi="仿宋" w:eastAsia="仿宋" w:cs="仿宋"/>
          <w:sz w:val="32"/>
          <w:szCs w:val="32"/>
          <w:lang w:eastAsia="zh-CN"/>
        </w:rPr>
        <w:t>本单位协同办公平台、市投资促进中心网站、金华市招商要素资源地图、金华市招商引资项目管理系统的日常运行维护，确保平稳运行。</w:t>
      </w: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Style w:val="9"/>
          <w:rFonts w:ascii="黑体" w:hAnsi="黑体" w:eastAsia="黑体" w:cs="黑体"/>
          <w:b w:val="0"/>
        </w:rPr>
      </w:pPr>
      <w:r>
        <w:rPr>
          <w:rStyle w:val="9"/>
          <w:rFonts w:hint="eastAsia" w:ascii="黑体" w:hAnsi="黑体" w:eastAsia="黑体" w:cs="黑体"/>
          <w:b w:val="0"/>
        </w:rPr>
        <w:t>三、名词解释</w:t>
      </w: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1.财政拨款收入：本级财政部门当年拨付的财政预算资金，包括一般公共预算财政拨款和政府性基金预算财政拨款。</w:t>
      </w: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2.财政专户管理的资金:财政部门在银行开设的用于核算和反映政府非税收入以及其他需要专户管理的资金。</w:t>
      </w: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3.其他收入：预算单位在“一般公共预算”、“政府性基金”、“财政专户管理的资金”等之外取得的各项收入（含上级补助收入）。</w:t>
      </w: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4.单位结余：指事业单位在预计用当年的“财政拨款收入”、“财政专户管理资金”、“其他收入”、“上年结转”等不足以安排当年支出的情况下，使用以前年度积累的一般结余、事业基金、专用基金和专项结余等弥补本年收支缺口的资金。</w:t>
      </w: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5.上年结转：指以前年度尚未完成、结转到本年仍按原规定用途继续使用的资金。</w:t>
      </w: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6.基本支出：是预算单位为保障其正常运转，完成日常工作任务所发生的支出，包括人员支出和日常公用支出。</w:t>
      </w: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7.项目支出：是预算单位为完成其特定的行政工作任务或事业发展目标所发生的支出。</w:t>
      </w: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8.“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9.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10.一般公共服务支出、政府办公厅（室）及相关机构事务、行政运行（政府办公厅（室）及相关机构事务：  反映行政单位(包括实行公务员管理的事业单位)的基本支出</w:t>
      </w:r>
      <w:r>
        <w:rPr>
          <w:rFonts w:hint="eastAsia" w:ascii="仿宋" w:hAnsi="仿宋" w:eastAsia="仿宋" w:cs="仿宋"/>
          <w:sz w:val="32"/>
          <w:szCs w:val="32"/>
          <w:lang w:eastAsia="zh-CN"/>
        </w:rPr>
        <w:t>。</w:t>
      </w: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11.一般公共服务支出、政府办公厅（室）及相关机构事务、机关服务（政府办公厅（室）及相关机构事务：反映为行政单位（包括实行公务员管理的事业单位）提供后勤服务的各类后勤服务中心、医务室等附属事业单位的支出。其他事业单位的支出，凡单独设置了项级科目的，在单独设置的项级科目中反映。未单设项级科目的，在“其他”项级科目中反映。</w:t>
      </w: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12.一般公共服务支出、政府办公厅（室）及相关机构事务、专项业务活动：反映各级政府举行各类重大活动、召开重要会议（如国务院一类会议、国庆招待会、全国劳模大会）的支出，政府房地产管理、公务用车管理等方面的支出。</w:t>
      </w: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13.教育支出、进修及培训、培训支出（项）：反映各部门安排的用于培训的支出。教育部门的师资培训，党校、行政学院等专业干部教育机构的支出，以及退役士兵、转业士官的培训支出，不在本科目反映。</w:t>
      </w: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14. 社会保障和就业支出、行政事业单位养老支出、行政单位离退休：反映行政单位（包括实行公务员事业单位）开支的离退休经费。15. 社会保障和就业支出、行政事业单位养老支出、机关事业单位基本养老保险缴费支出：反映机关事业单位实施养老保险制度由单位缴纳的基本养老保险费支出。</w:t>
      </w: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16. 社会保障和就业支出、行政事业单位养老支出、机关事业单位职业年金缴费支出：反映机关事业单位实施养老保险制度由单位实际缴纳的职业年金支出。</w:t>
      </w: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17.卫生健康支出、行政事业单位医疗、行政单位医疗：反映财政部门集中安排的行政单位基本医疗保险缴费经费，未参加医疗保险的行政单位的公费医疗经费，按国家规定享受离休人员、红军老战士待遇人员的医疗经费。</w:t>
      </w: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18.卫生健康支出、行政事业单位医疗、事业单位医疗：反映财政部门集中安排的事业单位基本医疗保险缴费经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费，未参加医疗保险的事业单位的公费医疗经费，按国家规定享受离休人员待遇人员的医疗经费。</w:t>
      </w: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19.住房保障支出、住房改革支出、住房公积金：反映行政事业单位按人力资源和社会保障部、财政部规定的基本工资和津贴补贴以及规定比例为职工缴纳的住房公积金。</w:t>
      </w: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黑体" w:hAnsi="黑体" w:eastAsia="黑体" w:cs="黑体"/>
          <w:sz w:val="32"/>
          <w:szCs w:val="32"/>
          <w:lang w:eastAsia="zh-CN"/>
        </w:rPr>
        <w:t>四、</w:t>
      </w:r>
      <w:r>
        <w:rPr>
          <w:rFonts w:hint="eastAsia" w:ascii="黑体" w:hAnsi="黑体" w:eastAsia="黑体" w:cs="黑体"/>
          <w:sz w:val="32"/>
          <w:szCs w:val="32"/>
          <w:lang w:val="en-US" w:eastAsia="zh-CN"/>
        </w:rPr>
        <w:t>2022年金华市投资促进中心部门预算</w:t>
      </w:r>
      <w:r>
        <w:rPr>
          <w:rFonts w:hint="eastAsia" w:ascii="仿宋" w:hAnsi="仿宋" w:eastAsia="仿宋" w:cs="仿宋"/>
          <w:sz w:val="32"/>
          <w:szCs w:val="32"/>
          <w:lang w:val="en-US" w:eastAsia="zh-CN"/>
        </w:rPr>
        <w:t xml:space="preserve">   </w:t>
      </w: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sz w:val="32"/>
          <w:szCs w:val="32"/>
          <w:lang w:val="en-US" w:eastAsia="zh-CN"/>
        </w:rPr>
      </w:pP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sz w:val="32"/>
          <w:szCs w:val="32"/>
          <w:lang w:val="en-US" w:eastAsia="zh-CN"/>
        </w:rPr>
      </w:pP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sz w:val="32"/>
          <w:szCs w:val="32"/>
          <w:lang w:val="en-US" w:eastAsia="zh-CN"/>
        </w:rPr>
      </w:pP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640" w:firstLineChars="200"/>
        <w:textAlignment w:val="auto"/>
        <w:outlineLvl w:val="9"/>
        <w:rPr>
          <w:rFonts w:hint="eastAsia" w:ascii="仿宋" w:hAnsi="仿宋" w:eastAsia="仿宋" w:cs="仿宋"/>
          <w:sz w:val="32"/>
          <w:szCs w:val="32"/>
          <w:lang w:val="en-US" w:eastAsia="zh-CN"/>
        </w:rPr>
        <w:sectPr>
          <w:footerReference r:id="rId6" w:type="default"/>
          <w:pgSz w:w="11906" w:h="16838"/>
          <w:pgMar w:top="1440" w:right="1803" w:bottom="1440" w:left="958" w:header="851" w:footer="992" w:gutter="0"/>
          <w:pgNumType w:fmt="decimalFullWidth" w:start="1"/>
          <w:cols w:space="0" w:num="1"/>
          <w:rtlGutter w:val="0"/>
          <w:docGrid w:type="lines" w:linePitch="315" w:charSpace="0"/>
        </w:sectPr>
      </w:pP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right="0" w:rightChars="0"/>
        <w:textAlignment w:val="auto"/>
        <w:outlineLvl w:val="9"/>
        <w:rPr>
          <w:rFonts w:hint="eastAsia" w:ascii="仿宋" w:hAnsi="仿宋" w:eastAsia="仿宋" w:cs="仿宋"/>
          <w:sz w:val="32"/>
          <w:szCs w:val="32"/>
          <w:lang w:val="en-US" w:eastAsia="zh-CN"/>
        </w:rPr>
      </w:pPr>
    </w:p>
    <w:tbl>
      <w:tblPr>
        <w:tblStyle w:val="10"/>
        <w:tblW w:w="13500" w:type="dxa"/>
        <w:tblInd w:w="97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35"/>
        <w:gridCol w:w="1478"/>
        <w:gridCol w:w="782"/>
        <w:gridCol w:w="111"/>
        <w:gridCol w:w="2697"/>
        <w:gridCol w:w="587"/>
        <w:gridCol w:w="4065"/>
        <w:gridCol w:w="2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0" w:hRule="atLeast"/>
        </w:trPr>
        <w:tc>
          <w:tcPr>
            <w:tcW w:w="1235" w:type="dxa"/>
            <w:shd w:val="clear" w:color="auto" w:fill="auto"/>
            <w:vAlign w:val="bottom"/>
          </w:tcPr>
          <w:p>
            <w:pPr>
              <w:rPr>
                <w:rFonts w:hint="eastAsia" w:ascii="Arial" w:hAnsi="Arial" w:cs="Arial"/>
                <w:i w:val="0"/>
                <w:color w:val="000000"/>
                <w:sz w:val="20"/>
                <w:szCs w:val="20"/>
                <w:u w:val="none"/>
              </w:rPr>
            </w:pPr>
          </w:p>
        </w:tc>
        <w:tc>
          <w:tcPr>
            <w:tcW w:w="2260" w:type="dxa"/>
            <w:gridSpan w:val="2"/>
            <w:shd w:val="clear" w:color="auto" w:fill="auto"/>
            <w:vAlign w:val="bottom"/>
          </w:tcPr>
          <w:p>
            <w:pPr>
              <w:jc w:val="center"/>
              <w:rPr>
                <w:rFonts w:hint="eastAsia" w:ascii="Calibri" w:hAnsi="Calibri" w:cs="Calibri"/>
                <w:i w:val="0"/>
                <w:color w:val="000000"/>
                <w:sz w:val="22"/>
                <w:szCs w:val="22"/>
                <w:u w:val="none"/>
              </w:rPr>
            </w:pPr>
          </w:p>
        </w:tc>
        <w:tc>
          <w:tcPr>
            <w:tcW w:w="3395" w:type="dxa"/>
            <w:gridSpan w:val="3"/>
            <w:shd w:val="clear" w:color="auto" w:fill="auto"/>
            <w:vAlign w:val="bottom"/>
          </w:tcPr>
          <w:p>
            <w:pPr>
              <w:rPr>
                <w:rFonts w:hint="default" w:ascii="Arial" w:hAnsi="Arial" w:cs="Arial"/>
                <w:i w:val="0"/>
                <w:color w:val="000000"/>
                <w:sz w:val="20"/>
                <w:szCs w:val="20"/>
                <w:u w:val="none"/>
              </w:rPr>
            </w:pPr>
          </w:p>
        </w:tc>
        <w:tc>
          <w:tcPr>
            <w:tcW w:w="6610"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13500" w:type="dxa"/>
            <w:gridSpan w:val="8"/>
            <w:shd w:val="clear" w:color="auto" w:fill="auto"/>
            <w:vAlign w:val="center"/>
          </w:tcPr>
          <w:p>
            <w:pPr>
              <w:keepNext w:val="0"/>
              <w:keepLines w:val="0"/>
              <w:widowControl/>
              <w:suppressLineNumbers w:val="0"/>
              <w:ind w:firstLine="3080" w:firstLineChars="700"/>
              <w:jc w:val="both"/>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2022年部门收支预算总表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713" w:type="dxa"/>
            <w:gridSpan w:val="2"/>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306-金华市投资促进中心</w:t>
            </w:r>
          </w:p>
        </w:tc>
        <w:tc>
          <w:tcPr>
            <w:tcW w:w="3590" w:type="dxa"/>
            <w:gridSpan w:val="3"/>
            <w:shd w:val="clear" w:color="auto" w:fill="auto"/>
            <w:vAlign w:val="bottom"/>
          </w:tcPr>
          <w:p>
            <w:pPr>
              <w:jc w:val="center"/>
              <w:rPr>
                <w:rFonts w:hint="default" w:ascii="Calibri" w:hAnsi="Calibri" w:cs="Calibri"/>
                <w:i w:val="0"/>
                <w:color w:val="000000"/>
                <w:sz w:val="22"/>
                <w:szCs w:val="22"/>
                <w:u w:val="none"/>
              </w:rPr>
            </w:pPr>
          </w:p>
        </w:tc>
        <w:tc>
          <w:tcPr>
            <w:tcW w:w="587" w:type="dxa"/>
            <w:shd w:val="clear" w:color="auto" w:fill="auto"/>
            <w:vAlign w:val="bottom"/>
          </w:tcPr>
          <w:p>
            <w:pPr>
              <w:rPr>
                <w:rFonts w:hint="default" w:ascii="Arial" w:hAnsi="Arial" w:cs="Arial"/>
                <w:i w:val="0"/>
                <w:color w:val="000000"/>
                <w:sz w:val="20"/>
                <w:szCs w:val="20"/>
                <w:u w:val="none"/>
              </w:rPr>
            </w:pPr>
          </w:p>
        </w:tc>
        <w:tc>
          <w:tcPr>
            <w:tcW w:w="6610"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63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w:t>
            </w:r>
          </w:p>
        </w:tc>
        <w:tc>
          <w:tcPr>
            <w:tcW w:w="71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4" w:hRule="atLeast"/>
        </w:trPr>
        <w:tc>
          <w:tcPr>
            <w:tcW w:w="36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2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46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3" w:hRule="atLeast"/>
        </w:trPr>
        <w:tc>
          <w:tcPr>
            <w:tcW w:w="36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一、财政拨款</w:t>
            </w:r>
          </w:p>
        </w:tc>
        <w:tc>
          <w:tcPr>
            <w:tcW w:w="2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984.03</w:t>
            </w:r>
          </w:p>
        </w:tc>
        <w:tc>
          <w:tcPr>
            <w:tcW w:w="46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一般公共服务支出</w:t>
            </w: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5" w:hRule="atLeast"/>
        </w:trPr>
        <w:tc>
          <w:tcPr>
            <w:tcW w:w="36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一般公共预算</w:t>
            </w:r>
          </w:p>
        </w:tc>
        <w:tc>
          <w:tcPr>
            <w:tcW w:w="2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984.03</w:t>
            </w:r>
          </w:p>
        </w:tc>
        <w:tc>
          <w:tcPr>
            <w:tcW w:w="46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政府办公厅（室）及相关机构事务</w:t>
            </w: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6" w:hRule="atLeast"/>
        </w:trPr>
        <w:tc>
          <w:tcPr>
            <w:tcW w:w="36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政府性基金预算</w:t>
            </w:r>
          </w:p>
        </w:tc>
        <w:tc>
          <w:tcPr>
            <w:tcW w:w="2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6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行政运行</w:t>
            </w: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95" w:hRule="atLeast"/>
        </w:trPr>
        <w:tc>
          <w:tcPr>
            <w:tcW w:w="36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国有资本经营预算</w:t>
            </w:r>
          </w:p>
        </w:tc>
        <w:tc>
          <w:tcPr>
            <w:tcW w:w="2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6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一般行政管理事务</w:t>
            </w: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5" w:hRule="atLeast"/>
        </w:trPr>
        <w:tc>
          <w:tcPr>
            <w:tcW w:w="36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二、财政专户管理资金</w:t>
            </w:r>
          </w:p>
        </w:tc>
        <w:tc>
          <w:tcPr>
            <w:tcW w:w="2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6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其他政府办公厅（室）及相关机构事务支出</w:t>
            </w: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8" w:hRule="atLeast"/>
        </w:trPr>
        <w:tc>
          <w:tcPr>
            <w:tcW w:w="36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三、事业收入</w:t>
            </w:r>
          </w:p>
        </w:tc>
        <w:tc>
          <w:tcPr>
            <w:tcW w:w="2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6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社会保障和就业支出</w:t>
            </w: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trPr>
        <w:tc>
          <w:tcPr>
            <w:tcW w:w="36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四、事业单位经营收入</w:t>
            </w:r>
          </w:p>
        </w:tc>
        <w:tc>
          <w:tcPr>
            <w:tcW w:w="2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6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行政事业单位养老支出</w:t>
            </w: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9" w:hRule="atLeast"/>
        </w:trPr>
        <w:tc>
          <w:tcPr>
            <w:tcW w:w="36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五、上级补助收入</w:t>
            </w:r>
          </w:p>
        </w:tc>
        <w:tc>
          <w:tcPr>
            <w:tcW w:w="2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6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行政单位离退休</w:t>
            </w: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6" w:hRule="atLeast"/>
        </w:trPr>
        <w:tc>
          <w:tcPr>
            <w:tcW w:w="36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六、附属单位上缴收入</w:t>
            </w:r>
          </w:p>
        </w:tc>
        <w:tc>
          <w:tcPr>
            <w:tcW w:w="2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6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机关事业单位基本养老保险缴费支出</w:t>
            </w: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92" w:hRule="atLeast"/>
        </w:trPr>
        <w:tc>
          <w:tcPr>
            <w:tcW w:w="36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七、其他收入</w:t>
            </w:r>
          </w:p>
        </w:tc>
        <w:tc>
          <w:tcPr>
            <w:tcW w:w="2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6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机关事业单位职业年金缴费支出</w:t>
            </w: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9" w:hRule="atLeast"/>
        </w:trPr>
        <w:tc>
          <w:tcPr>
            <w:tcW w:w="36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6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卫生健康支出</w:t>
            </w: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6" w:hRule="atLeast"/>
        </w:trPr>
        <w:tc>
          <w:tcPr>
            <w:tcW w:w="36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6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行政事业单位医疗</w:t>
            </w: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5" w:hRule="atLeast"/>
        </w:trPr>
        <w:tc>
          <w:tcPr>
            <w:tcW w:w="36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6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行政单位医疗</w:t>
            </w: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5" w:hRule="atLeast"/>
        </w:trPr>
        <w:tc>
          <w:tcPr>
            <w:tcW w:w="36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6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住房保障支出</w:t>
            </w: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6" w:hRule="atLeast"/>
        </w:trPr>
        <w:tc>
          <w:tcPr>
            <w:tcW w:w="36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6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住房改革支出</w:t>
            </w: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8" w:hRule="atLeast"/>
        </w:trPr>
        <w:tc>
          <w:tcPr>
            <w:tcW w:w="36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6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住房公积金</w:t>
            </w: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3" w:hRule="atLeast"/>
        </w:trPr>
        <w:tc>
          <w:tcPr>
            <w:tcW w:w="360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2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984.03</w:t>
            </w:r>
          </w:p>
        </w:tc>
        <w:tc>
          <w:tcPr>
            <w:tcW w:w="46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984.03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 w:hRule="atLeast"/>
        </w:trPr>
        <w:tc>
          <w:tcPr>
            <w:tcW w:w="3606" w:type="dxa"/>
            <w:gridSpan w:val="4"/>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上年结转结余</w:t>
            </w:r>
          </w:p>
        </w:tc>
        <w:tc>
          <w:tcPr>
            <w:tcW w:w="2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6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年终结转结余</w:t>
            </w: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9" w:hRule="atLeast"/>
        </w:trPr>
        <w:tc>
          <w:tcPr>
            <w:tcW w:w="360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  总  计</w:t>
            </w:r>
          </w:p>
        </w:tc>
        <w:tc>
          <w:tcPr>
            <w:tcW w:w="2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984.03</w:t>
            </w:r>
          </w:p>
        </w:tc>
        <w:tc>
          <w:tcPr>
            <w:tcW w:w="46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  总  计</w:t>
            </w: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984.03</w:t>
            </w:r>
          </w:p>
        </w:tc>
      </w:tr>
    </w:tbl>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rPr>
      </w:pP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rPr>
      </w:pPr>
    </w:p>
    <w:tbl>
      <w:tblPr>
        <w:tblStyle w:val="10"/>
        <w:tblW w:w="169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54"/>
        <w:gridCol w:w="699"/>
        <w:gridCol w:w="366"/>
        <w:gridCol w:w="486"/>
        <w:gridCol w:w="281"/>
        <w:gridCol w:w="90"/>
        <w:gridCol w:w="300"/>
        <w:gridCol w:w="371"/>
        <w:gridCol w:w="49"/>
        <w:gridCol w:w="371"/>
        <w:gridCol w:w="365"/>
        <w:gridCol w:w="170"/>
        <w:gridCol w:w="371"/>
        <w:gridCol w:w="83"/>
        <w:gridCol w:w="452"/>
        <w:gridCol w:w="281"/>
        <w:gridCol w:w="90"/>
        <w:gridCol w:w="535"/>
        <w:gridCol w:w="281"/>
        <w:gridCol w:w="90"/>
        <w:gridCol w:w="535"/>
        <w:gridCol w:w="906"/>
        <w:gridCol w:w="706"/>
        <w:gridCol w:w="200"/>
        <w:gridCol w:w="457"/>
        <w:gridCol w:w="366"/>
        <w:gridCol w:w="207"/>
        <w:gridCol w:w="90"/>
        <w:gridCol w:w="90"/>
        <w:gridCol w:w="33"/>
        <w:gridCol w:w="445"/>
        <w:gridCol w:w="428"/>
        <w:gridCol w:w="33"/>
        <w:gridCol w:w="466"/>
        <w:gridCol w:w="324"/>
        <w:gridCol w:w="116"/>
        <w:gridCol w:w="281"/>
        <w:gridCol w:w="23"/>
        <w:gridCol w:w="602"/>
        <w:gridCol w:w="137"/>
        <w:gridCol w:w="167"/>
        <w:gridCol w:w="602"/>
        <w:gridCol w:w="304"/>
        <w:gridCol w:w="339"/>
        <w:gridCol w:w="567"/>
        <w:gridCol w:w="906"/>
        <w:gridCol w:w="6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116" w:type="dxa"/>
          <w:trHeight w:val="390" w:hRule="atLeast"/>
        </w:trPr>
        <w:tc>
          <w:tcPr>
            <w:tcW w:w="1254" w:type="dxa"/>
            <w:shd w:val="clear" w:color="auto" w:fill="auto"/>
            <w:vAlign w:val="center"/>
          </w:tcPr>
          <w:p>
            <w:pPr>
              <w:rPr>
                <w:rFonts w:hint="eastAsia" w:ascii="宋体" w:hAnsi="宋体" w:eastAsia="宋体" w:cs="宋体"/>
                <w:i w:val="0"/>
                <w:color w:val="000000"/>
                <w:sz w:val="20"/>
                <w:szCs w:val="20"/>
                <w:u w:val="none"/>
              </w:rPr>
            </w:pPr>
          </w:p>
        </w:tc>
        <w:tc>
          <w:tcPr>
            <w:tcW w:w="699" w:type="dxa"/>
            <w:shd w:val="clear" w:color="auto" w:fill="auto"/>
            <w:vAlign w:val="center"/>
          </w:tcPr>
          <w:p>
            <w:pPr>
              <w:rPr>
                <w:rFonts w:hint="eastAsia" w:ascii="宋体" w:hAnsi="宋体" w:eastAsia="宋体" w:cs="宋体"/>
                <w:i w:val="0"/>
                <w:color w:val="000000"/>
                <w:sz w:val="20"/>
                <w:szCs w:val="20"/>
                <w:u w:val="none"/>
              </w:rPr>
            </w:pPr>
          </w:p>
        </w:tc>
        <w:tc>
          <w:tcPr>
            <w:tcW w:w="852" w:type="dxa"/>
            <w:gridSpan w:val="2"/>
            <w:shd w:val="clear" w:color="auto" w:fill="auto"/>
            <w:vAlign w:val="center"/>
          </w:tcPr>
          <w:p>
            <w:pPr>
              <w:rPr>
                <w:rFonts w:hint="eastAsia" w:ascii="宋体" w:hAnsi="宋体" w:eastAsia="宋体" w:cs="宋体"/>
                <w:i w:val="0"/>
                <w:color w:val="000000"/>
                <w:sz w:val="20"/>
                <w:szCs w:val="20"/>
                <w:u w:val="none"/>
              </w:rPr>
            </w:pPr>
          </w:p>
        </w:tc>
        <w:tc>
          <w:tcPr>
            <w:tcW w:w="671" w:type="dxa"/>
            <w:gridSpan w:val="3"/>
            <w:shd w:val="clear" w:color="auto" w:fill="auto"/>
            <w:vAlign w:val="center"/>
          </w:tcPr>
          <w:p>
            <w:pPr>
              <w:rPr>
                <w:rFonts w:hint="eastAsia" w:ascii="宋体" w:hAnsi="宋体" w:eastAsia="宋体" w:cs="宋体"/>
                <w:i w:val="0"/>
                <w:color w:val="000000"/>
                <w:sz w:val="20"/>
                <w:szCs w:val="20"/>
                <w:u w:val="none"/>
              </w:rPr>
            </w:pPr>
          </w:p>
        </w:tc>
        <w:tc>
          <w:tcPr>
            <w:tcW w:w="420" w:type="dxa"/>
            <w:gridSpan w:val="2"/>
            <w:shd w:val="clear" w:color="auto" w:fill="auto"/>
            <w:vAlign w:val="center"/>
          </w:tcPr>
          <w:p>
            <w:pPr>
              <w:rPr>
                <w:rFonts w:hint="eastAsia" w:ascii="宋体" w:hAnsi="宋体" w:eastAsia="宋体" w:cs="宋体"/>
                <w:i w:val="0"/>
                <w:color w:val="000000"/>
                <w:sz w:val="20"/>
                <w:szCs w:val="20"/>
                <w:u w:val="none"/>
              </w:rPr>
            </w:pPr>
          </w:p>
        </w:tc>
        <w:tc>
          <w:tcPr>
            <w:tcW w:w="906" w:type="dxa"/>
            <w:gridSpan w:val="3"/>
            <w:shd w:val="clear" w:color="auto" w:fill="auto"/>
            <w:vAlign w:val="center"/>
          </w:tcPr>
          <w:p>
            <w:pPr>
              <w:rPr>
                <w:rFonts w:hint="eastAsia" w:ascii="宋体" w:hAnsi="宋体" w:eastAsia="宋体" w:cs="宋体"/>
                <w:i w:val="0"/>
                <w:color w:val="000000"/>
                <w:sz w:val="20"/>
                <w:szCs w:val="20"/>
                <w:u w:val="none"/>
              </w:rPr>
            </w:pPr>
          </w:p>
        </w:tc>
        <w:tc>
          <w:tcPr>
            <w:tcW w:w="906" w:type="dxa"/>
            <w:gridSpan w:val="3"/>
            <w:shd w:val="clear" w:color="auto" w:fill="auto"/>
            <w:vAlign w:val="center"/>
          </w:tcPr>
          <w:p>
            <w:pPr>
              <w:rPr>
                <w:rFonts w:hint="eastAsia" w:ascii="宋体" w:hAnsi="宋体" w:eastAsia="宋体" w:cs="宋体"/>
                <w:i w:val="0"/>
                <w:color w:val="000000"/>
                <w:sz w:val="20"/>
                <w:szCs w:val="20"/>
                <w:u w:val="none"/>
              </w:rPr>
            </w:pPr>
          </w:p>
        </w:tc>
        <w:tc>
          <w:tcPr>
            <w:tcW w:w="906" w:type="dxa"/>
            <w:gridSpan w:val="3"/>
            <w:shd w:val="clear" w:color="auto" w:fill="auto"/>
            <w:vAlign w:val="center"/>
          </w:tcPr>
          <w:p>
            <w:pPr>
              <w:rPr>
                <w:rFonts w:hint="eastAsia" w:ascii="宋体" w:hAnsi="宋体" w:eastAsia="宋体" w:cs="宋体"/>
                <w:i w:val="0"/>
                <w:color w:val="000000"/>
                <w:sz w:val="20"/>
                <w:szCs w:val="20"/>
                <w:u w:val="none"/>
              </w:rPr>
            </w:pPr>
          </w:p>
        </w:tc>
        <w:tc>
          <w:tcPr>
            <w:tcW w:w="906" w:type="dxa"/>
            <w:gridSpan w:val="3"/>
            <w:shd w:val="clear" w:color="auto" w:fill="auto"/>
            <w:vAlign w:val="center"/>
          </w:tcPr>
          <w:p>
            <w:pPr>
              <w:rPr>
                <w:rFonts w:hint="eastAsia" w:ascii="宋体" w:hAnsi="宋体" w:eastAsia="宋体" w:cs="宋体"/>
                <w:i w:val="0"/>
                <w:color w:val="000000"/>
                <w:sz w:val="20"/>
                <w:szCs w:val="20"/>
                <w:u w:val="none"/>
              </w:rPr>
            </w:pPr>
          </w:p>
        </w:tc>
        <w:tc>
          <w:tcPr>
            <w:tcW w:w="906" w:type="dxa"/>
            <w:shd w:val="clear" w:color="auto" w:fill="auto"/>
            <w:vAlign w:val="center"/>
          </w:tcPr>
          <w:p>
            <w:pPr>
              <w:rPr>
                <w:rFonts w:hint="eastAsia" w:ascii="宋体" w:hAnsi="宋体" w:eastAsia="宋体" w:cs="宋体"/>
                <w:i w:val="0"/>
                <w:color w:val="000000"/>
                <w:sz w:val="20"/>
                <w:szCs w:val="20"/>
                <w:u w:val="none"/>
              </w:rPr>
            </w:pPr>
          </w:p>
        </w:tc>
        <w:tc>
          <w:tcPr>
            <w:tcW w:w="906" w:type="dxa"/>
            <w:gridSpan w:val="2"/>
            <w:shd w:val="clear" w:color="auto" w:fill="auto"/>
            <w:vAlign w:val="bottom"/>
          </w:tcPr>
          <w:p>
            <w:pPr>
              <w:rPr>
                <w:rFonts w:hint="eastAsia" w:ascii="Arial" w:hAnsi="Arial" w:cs="Arial"/>
                <w:i w:val="0"/>
                <w:color w:val="000000"/>
                <w:sz w:val="20"/>
                <w:szCs w:val="20"/>
                <w:u w:val="none"/>
              </w:rPr>
            </w:pPr>
          </w:p>
        </w:tc>
        <w:tc>
          <w:tcPr>
            <w:tcW w:w="823" w:type="dxa"/>
            <w:gridSpan w:val="2"/>
            <w:shd w:val="clear" w:color="auto" w:fill="auto"/>
            <w:vAlign w:val="bottom"/>
          </w:tcPr>
          <w:p>
            <w:pPr>
              <w:rPr>
                <w:rFonts w:hint="default" w:ascii="Arial" w:hAnsi="Arial" w:cs="Arial"/>
                <w:i w:val="0"/>
                <w:color w:val="000000"/>
                <w:sz w:val="20"/>
                <w:szCs w:val="20"/>
                <w:u w:val="none"/>
              </w:rPr>
            </w:pPr>
          </w:p>
        </w:tc>
        <w:tc>
          <w:tcPr>
            <w:tcW w:w="420" w:type="dxa"/>
            <w:gridSpan w:val="4"/>
            <w:shd w:val="clear" w:color="auto" w:fill="auto"/>
            <w:vAlign w:val="bottom"/>
          </w:tcPr>
          <w:p>
            <w:pPr>
              <w:rPr>
                <w:rFonts w:hint="default" w:ascii="Arial" w:hAnsi="Arial" w:cs="Arial"/>
                <w:i w:val="0"/>
                <w:color w:val="000000"/>
                <w:sz w:val="20"/>
                <w:szCs w:val="20"/>
                <w:u w:val="none"/>
              </w:rPr>
            </w:pPr>
          </w:p>
        </w:tc>
        <w:tc>
          <w:tcPr>
            <w:tcW w:w="906" w:type="dxa"/>
            <w:gridSpan w:val="3"/>
            <w:shd w:val="clear" w:color="auto" w:fill="auto"/>
            <w:vAlign w:val="bottom"/>
          </w:tcPr>
          <w:p>
            <w:pPr>
              <w:rPr>
                <w:rFonts w:hint="default" w:ascii="Arial" w:hAnsi="Arial" w:cs="Arial"/>
                <w:i w:val="0"/>
                <w:color w:val="000000"/>
                <w:sz w:val="20"/>
                <w:szCs w:val="20"/>
                <w:u w:val="none"/>
              </w:rPr>
            </w:pPr>
          </w:p>
        </w:tc>
        <w:tc>
          <w:tcPr>
            <w:tcW w:w="906" w:type="dxa"/>
            <w:gridSpan w:val="3"/>
            <w:shd w:val="clear" w:color="auto" w:fill="auto"/>
            <w:vAlign w:val="bottom"/>
          </w:tcPr>
          <w:p>
            <w:pPr>
              <w:rPr>
                <w:rFonts w:hint="default" w:ascii="Arial" w:hAnsi="Arial" w:cs="Arial"/>
                <w:i w:val="0"/>
                <w:color w:val="000000"/>
                <w:sz w:val="20"/>
                <w:szCs w:val="20"/>
                <w:u w:val="none"/>
              </w:rPr>
            </w:pPr>
          </w:p>
        </w:tc>
        <w:tc>
          <w:tcPr>
            <w:tcW w:w="906" w:type="dxa"/>
            <w:gridSpan w:val="3"/>
            <w:shd w:val="clear" w:color="auto" w:fill="auto"/>
            <w:vAlign w:val="bottom"/>
          </w:tcPr>
          <w:p>
            <w:pPr>
              <w:rPr>
                <w:rFonts w:hint="default" w:ascii="Arial" w:hAnsi="Arial" w:cs="Arial"/>
                <w:i w:val="0"/>
                <w:color w:val="000000"/>
                <w:sz w:val="20"/>
                <w:szCs w:val="20"/>
                <w:u w:val="none"/>
              </w:rPr>
            </w:pPr>
          </w:p>
        </w:tc>
        <w:tc>
          <w:tcPr>
            <w:tcW w:w="906" w:type="dxa"/>
            <w:gridSpan w:val="3"/>
            <w:shd w:val="clear" w:color="auto" w:fill="auto"/>
            <w:vAlign w:val="bottom"/>
          </w:tcPr>
          <w:p>
            <w:pPr>
              <w:rPr>
                <w:rFonts w:hint="default" w:ascii="Arial" w:hAnsi="Arial" w:cs="Arial"/>
                <w:i w:val="0"/>
                <w:color w:val="000000"/>
                <w:sz w:val="20"/>
                <w:szCs w:val="20"/>
                <w:u w:val="none"/>
              </w:rPr>
            </w:pPr>
          </w:p>
        </w:tc>
        <w:tc>
          <w:tcPr>
            <w:tcW w:w="643" w:type="dxa"/>
            <w:gridSpan w:val="2"/>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3"/>
          <w:wAfter w:w="2116" w:type="dxa"/>
          <w:trHeight w:val="675" w:hRule="atLeast"/>
        </w:trPr>
        <w:tc>
          <w:tcPr>
            <w:tcW w:w="14842" w:type="dxa"/>
            <w:gridSpan w:val="44"/>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2022年部门收入预算总表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2319" w:type="dxa"/>
            <w:gridSpan w:val="3"/>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306-金华市投资促进中心</w:t>
            </w:r>
          </w:p>
        </w:tc>
        <w:tc>
          <w:tcPr>
            <w:tcW w:w="767" w:type="dxa"/>
            <w:gridSpan w:val="2"/>
            <w:shd w:val="clear" w:color="auto" w:fill="auto"/>
            <w:vAlign w:val="center"/>
          </w:tcPr>
          <w:p>
            <w:pPr>
              <w:rPr>
                <w:rFonts w:hint="eastAsia" w:ascii="宋体" w:hAnsi="宋体" w:eastAsia="宋体" w:cs="宋体"/>
                <w:i w:val="0"/>
                <w:color w:val="000000"/>
                <w:sz w:val="20"/>
                <w:szCs w:val="20"/>
                <w:u w:val="none"/>
              </w:rPr>
            </w:pPr>
          </w:p>
        </w:tc>
        <w:tc>
          <w:tcPr>
            <w:tcW w:w="90" w:type="dxa"/>
            <w:shd w:val="clear" w:color="auto" w:fill="auto"/>
            <w:vAlign w:val="center"/>
          </w:tcPr>
          <w:p>
            <w:pPr>
              <w:rPr>
                <w:rFonts w:hint="eastAsia" w:ascii="宋体" w:hAnsi="宋体" w:eastAsia="宋体" w:cs="宋体"/>
                <w:i w:val="0"/>
                <w:color w:val="000000"/>
                <w:sz w:val="20"/>
                <w:szCs w:val="20"/>
                <w:u w:val="none"/>
              </w:rPr>
            </w:pPr>
          </w:p>
        </w:tc>
        <w:tc>
          <w:tcPr>
            <w:tcW w:w="671" w:type="dxa"/>
            <w:gridSpan w:val="2"/>
            <w:shd w:val="clear" w:color="auto" w:fill="auto"/>
            <w:vAlign w:val="center"/>
          </w:tcPr>
          <w:p>
            <w:pPr>
              <w:rPr>
                <w:rFonts w:hint="eastAsia" w:ascii="宋体" w:hAnsi="宋体" w:eastAsia="宋体" w:cs="宋体"/>
                <w:i w:val="0"/>
                <w:color w:val="000000"/>
                <w:sz w:val="20"/>
                <w:szCs w:val="20"/>
                <w:u w:val="none"/>
              </w:rPr>
            </w:pPr>
          </w:p>
        </w:tc>
        <w:tc>
          <w:tcPr>
            <w:tcW w:w="420" w:type="dxa"/>
            <w:gridSpan w:val="2"/>
            <w:shd w:val="clear" w:color="auto" w:fill="auto"/>
            <w:vAlign w:val="center"/>
          </w:tcPr>
          <w:p>
            <w:pPr>
              <w:rPr>
                <w:rFonts w:hint="eastAsia" w:ascii="宋体" w:hAnsi="宋体" w:eastAsia="宋体" w:cs="宋体"/>
                <w:i w:val="0"/>
                <w:color w:val="000000"/>
                <w:sz w:val="20"/>
                <w:szCs w:val="20"/>
                <w:u w:val="none"/>
              </w:rPr>
            </w:pPr>
          </w:p>
        </w:tc>
        <w:tc>
          <w:tcPr>
            <w:tcW w:w="906" w:type="dxa"/>
            <w:gridSpan w:val="3"/>
            <w:shd w:val="clear" w:color="auto" w:fill="auto"/>
            <w:vAlign w:val="center"/>
          </w:tcPr>
          <w:p>
            <w:pPr>
              <w:rPr>
                <w:rFonts w:hint="eastAsia" w:ascii="宋体" w:hAnsi="宋体" w:eastAsia="宋体" w:cs="宋体"/>
                <w:i w:val="0"/>
                <w:color w:val="000000"/>
                <w:sz w:val="20"/>
                <w:szCs w:val="20"/>
                <w:u w:val="none"/>
              </w:rPr>
            </w:pPr>
          </w:p>
        </w:tc>
        <w:tc>
          <w:tcPr>
            <w:tcW w:w="906" w:type="dxa"/>
            <w:gridSpan w:val="4"/>
            <w:shd w:val="clear" w:color="auto" w:fill="auto"/>
            <w:vAlign w:val="center"/>
          </w:tcPr>
          <w:p>
            <w:pPr>
              <w:rPr>
                <w:rFonts w:hint="eastAsia" w:ascii="宋体" w:hAnsi="宋体" w:eastAsia="宋体" w:cs="宋体"/>
                <w:i w:val="0"/>
                <w:color w:val="000000"/>
                <w:sz w:val="20"/>
                <w:szCs w:val="20"/>
                <w:u w:val="none"/>
              </w:rPr>
            </w:pPr>
          </w:p>
        </w:tc>
        <w:tc>
          <w:tcPr>
            <w:tcW w:w="906" w:type="dxa"/>
            <w:gridSpan w:val="3"/>
            <w:shd w:val="clear" w:color="auto" w:fill="auto"/>
            <w:vAlign w:val="center"/>
          </w:tcPr>
          <w:p>
            <w:pPr>
              <w:rPr>
                <w:rFonts w:hint="eastAsia" w:ascii="宋体" w:hAnsi="宋体" w:eastAsia="宋体" w:cs="宋体"/>
                <w:i w:val="0"/>
                <w:color w:val="000000"/>
                <w:sz w:val="20"/>
                <w:szCs w:val="20"/>
                <w:u w:val="none"/>
              </w:rPr>
            </w:pPr>
          </w:p>
        </w:tc>
        <w:tc>
          <w:tcPr>
            <w:tcW w:w="3467" w:type="dxa"/>
            <w:gridSpan w:val="8"/>
            <w:shd w:val="clear" w:color="auto" w:fill="auto"/>
            <w:vAlign w:val="center"/>
          </w:tcPr>
          <w:p>
            <w:pPr>
              <w:rPr>
                <w:rFonts w:hint="eastAsia" w:ascii="宋体" w:hAnsi="宋体" w:eastAsia="宋体" w:cs="宋体"/>
                <w:i w:val="0"/>
                <w:color w:val="000000"/>
                <w:sz w:val="20"/>
                <w:szCs w:val="20"/>
                <w:u w:val="none"/>
              </w:rPr>
            </w:pPr>
          </w:p>
        </w:tc>
        <w:tc>
          <w:tcPr>
            <w:tcW w:w="90" w:type="dxa"/>
            <w:shd w:val="clear" w:color="auto" w:fill="auto"/>
            <w:vAlign w:val="center"/>
          </w:tcPr>
          <w:p>
            <w:pPr>
              <w:rPr>
                <w:rFonts w:hint="eastAsia" w:ascii="宋体" w:hAnsi="宋体" w:eastAsia="宋体" w:cs="宋体"/>
                <w:i w:val="0"/>
                <w:color w:val="000000"/>
                <w:sz w:val="20"/>
                <w:szCs w:val="20"/>
                <w:u w:val="none"/>
              </w:rPr>
            </w:pPr>
          </w:p>
        </w:tc>
        <w:tc>
          <w:tcPr>
            <w:tcW w:w="906" w:type="dxa"/>
            <w:gridSpan w:val="3"/>
            <w:shd w:val="clear" w:color="auto" w:fill="auto"/>
            <w:vAlign w:val="bottom"/>
          </w:tcPr>
          <w:p>
            <w:pPr>
              <w:rPr>
                <w:rFonts w:hint="eastAsia" w:ascii="Calibri" w:hAnsi="Calibri" w:cs="Calibri"/>
                <w:i w:val="0"/>
                <w:color w:val="000000"/>
                <w:sz w:val="20"/>
                <w:szCs w:val="20"/>
                <w:u w:val="none"/>
              </w:rPr>
            </w:pPr>
          </w:p>
        </w:tc>
        <w:tc>
          <w:tcPr>
            <w:tcW w:w="823" w:type="dxa"/>
            <w:gridSpan w:val="3"/>
            <w:shd w:val="clear" w:color="auto" w:fill="auto"/>
            <w:vAlign w:val="bottom"/>
          </w:tcPr>
          <w:p>
            <w:pPr>
              <w:rPr>
                <w:rFonts w:hint="default" w:ascii="Calibri" w:hAnsi="Calibri" w:cs="Calibri"/>
                <w:i w:val="0"/>
                <w:color w:val="000000"/>
                <w:sz w:val="20"/>
                <w:szCs w:val="20"/>
                <w:u w:val="none"/>
              </w:rPr>
            </w:pPr>
          </w:p>
        </w:tc>
        <w:tc>
          <w:tcPr>
            <w:tcW w:w="420" w:type="dxa"/>
            <w:gridSpan w:val="3"/>
            <w:shd w:val="clear" w:color="auto" w:fill="auto"/>
            <w:vAlign w:val="bottom"/>
          </w:tcPr>
          <w:p>
            <w:pPr>
              <w:rPr>
                <w:rFonts w:hint="default" w:ascii="Calibri" w:hAnsi="Calibri" w:cs="Calibri"/>
                <w:i w:val="0"/>
                <w:color w:val="000000"/>
                <w:sz w:val="20"/>
                <w:szCs w:val="20"/>
                <w:u w:val="none"/>
              </w:rPr>
            </w:pPr>
          </w:p>
        </w:tc>
        <w:tc>
          <w:tcPr>
            <w:tcW w:w="906" w:type="dxa"/>
            <w:gridSpan w:val="3"/>
            <w:shd w:val="clear" w:color="auto" w:fill="auto"/>
            <w:vAlign w:val="bottom"/>
          </w:tcPr>
          <w:p>
            <w:pPr>
              <w:rPr>
                <w:rFonts w:hint="default" w:ascii="Calibri" w:hAnsi="Calibri" w:cs="Calibri"/>
                <w:i w:val="0"/>
                <w:color w:val="000000"/>
                <w:sz w:val="20"/>
                <w:szCs w:val="20"/>
                <w:u w:val="none"/>
              </w:rPr>
            </w:pPr>
          </w:p>
        </w:tc>
        <w:tc>
          <w:tcPr>
            <w:tcW w:w="906" w:type="dxa"/>
            <w:gridSpan w:val="2"/>
            <w:shd w:val="clear" w:color="auto" w:fill="auto"/>
            <w:vAlign w:val="bottom"/>
          </w:tcPr>
          <w:p>
            <w:pPr>
              <w:rPr>
                <w:rFonts w:hint="default" w:ascii="Calibri" w:hAnsi="Calibri" w:cs="Calibri"/>
                <w:i w:val="0"/>
                <w:color w:val="000000"/>
                <w:sz w:val="20"/>
                <w:szCs w:val="20"/>
                <w:u w:val="none"/>
              </w:rPr>
            </w:pPr>
          </w:p>
        </w:tc>
        <w:tc>
          <w:tcPr>
            <w:tcW w:w="906" w:type="dxa"/>
            <w:gridSpan w:val="2"/>
            <w:shd w:val="clear" w:color="auto" w:fill="auto"/>
            <w:vAlign w:val="bottom"/>
          </w:tcPr>
          <w:p>
            <w:pPr>
              <w:rPr>
                <w:rFonts w:hint="default" w:ascii="Calibri" w:hAnsi="Calibri" w:cs="Calibri"/>
                <w:i w:val="0"/>
                <w:color w:val="000000"/>
                <w:sz w:val="20"/>
                <w:szCs w:val="20"/>
                <w:u w:val="none"/>
              </w:rPr>
            </w:pPr>
          </w:p>
        </w:tc>
        <w:tc>
          <w:tcPr>
            <w:tcW w:w="906" w:type="dxa"/>
            <w:shd w:val="clear" w:color="auto" w:fill="auto"/>
            <w:vAlign w:val="bottom"/>
          </w:tcPr>
          <w:p>
            <w:pPr>
              <w:rPr>
                <w:rFonts w:hint="default" w:ascii="Calibri" w:hAnsi="Calibri" w:cs="Calibri"/>
                <w:i w:val="0"/>
                <w:color w:val="000000"/>
                <w:sz w:val="20"/>
                <w:szCs w:val="20"/>
                <w:u w:val="none"/>
              </w:rPr>
            </w:pPr>
          </w:p>
        </w:tc>
        <w:tc>
          <w:tcPr>
            <w:tcW w:w="643"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3"/>
          <w:wAfter w:w="2116" w:type="dxa"/>
          <w:trHeight w:val="600" w:hRule="atLeast"/>
        </w:trPr>
        <w:tc>
          <w:tcPr>
            <w:tcW w:w="231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单位名称</w:t>
            </w:r>
          </w:p>
        </w:tc>
        <w:tc>
          <w:tcPr>
            <w:tcW w:w="7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总计</w:t>
            </w:r>
          </w:p>
        </w:tc>
        <w:tc>
          <w:tcPr>
            <w:tcW w:w="7276" w:type="dxa"/>
            <w:gridSpan w:val="2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w:t>
            </w:r>
          </w:p>
        </w:tc>
        <w:tc>
          <w:tcPr>
            <w:tcW w:w="4480"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3"/>
          <w:wAfter w:w="2116" w:type="dxa"/>
          <w:trHeight w:val="1170" w:hRule="atLeast"/>
        </w:trPr>
        <w:tc>
          <w:tcPr>
            <w:tcW w:w="231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一般公共预算</w:t>
            </w:r>
          </w:p>
        </w:tc>
        <w:tc>
          <w:tcPr>
            <w:tcW w:w="6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w:t>
            </w:r>
          </w:p>
        </w:tc>
        <w:tc>
          <w:tcPr>
            <w:tcW w:w="7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w:t>
            </w:r>
          </w:p>
        </w:tc>
        <w:tc>
          <w:tcPr>
            <w:tcW w:w="9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财政专户管理资金</w:t>
            </w:r>
          </w:p>
        </w:tc>
        <w:tc>
          <w:tcPr>
            <w:tcW w:w="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事业单位经营收入</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c>
          <w:tcPr>
            <w:tcW w:w="6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w:t>
            </w:r>
          </w:p>
        </w:tc>
        <w:tc>
          <w:tcPr>
            <w:tcW w:w="7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w:t>
            </w:r>
          </w:p>
        </w:tc>
        <w:tc>
          <w:tcPr>
            <w:tcW w:w="7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w:t>
            </w:r>
          </w:p>
        </w:tc>
        <w:tc>
          <w:tcPr>
            <w:tcW w:w="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专户资金结转结余</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单位资金结转结余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3"/>
          <w:wAfter w:w="2116" w:type="dxa"/>
          <w:trHeight w:val="390" w:hRule="atLeast"/>
        </w:trPr>
        <w:tc>
          <w:tcPr>
            <w:tcW w:w="2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67"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6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6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7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7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3"/>
          <w:wAfter w:w="2116" w:type="dxa"/>
          <w:trHeight w:val="390" w:hRule="atLeast"/>
        </w:trPr>
        <w:tc>
          <w:tcPr>
            <w:tcW w:w="2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7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984.03</w:t>
            </w:r>
          </w:p>
        </w:tc>
        <w:tc>
          <w:tcPr>
            <w:tcW w:w="8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984.03</w:t>
            </w:r>
          </w:p>
        </w:tc>
        <w:tc>
          <w:tcPr>
            <w:tcW w:w="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984.03</w:t>
            </w:r>
          </w:p>
        </w:tc>
        <w:tc>
          <w:tcPr>
            <w:tcW w:w="6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7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9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6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Calibri" w:hAnsi="Calibri" w:cs="Calibri"/>
                <w:i w:val="0"/>
                <w:color w:val="000000"/>
                <w:sz w:val="22"/>
                <w:szCs w:val="22"/>
                <w:u w:val="none"/>
              </w:rPr>
            </w:pPr>
          </w:p>
        </w:tc>
        <w:tc>
          <w:tcPr>
            <w:tcW w:w="7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7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3"/>
          <w:wAfter w:w="2116" w:type="dxa"/>
          <w:trHeight w:val="390" w:hRule="atLeast"/>
        </w:trPr>
        <w:tc>
          <w:tcPr>
            <w:tcW w:w="2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金华市投资促进中心</w:t>
            </w:r>
          </w:p>
        </w:tc>
        <w:tc>
          <w:tcPr>
            <w:tcW w:w="7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984.03</w:t>
            </w:r>
          </w:p>
        </w:tc>
        <w:tc>
          <w:tcPr>
            <w:tcW w:w="8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984.03</w:t>
            </w:r>
          </w:p>
        </w:tc>
        <w:tc>
          <w:tcPr>
            <w:tcW w:w="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984.03</w:t>
            </w:r>
          </w:p>
        </w:tc>
        <w:tc>
          <w:tcPr>
            <w:tcW w:w="6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7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9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6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Calibri" w:hAnsi="Calibri" w:cs="Calibri"/>
                <w:i w:val="0"/>
                <w:color w:val="000000"/>
                <w:sz w:val="22"/>
                <w:szCs w:val="22"/>
                <w:u w:val="none"/>
              </w:rPr>
            </w:pPr>
          </w:p>
        </w:tc>
        <w:tc>
          <w:tcPr>
            <w:tcW w:w="7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7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3"/>
          <w:wAfter w:w="2116" w:type="dxa"/>
          <w:trHeight w:val="390" w:hRule="atLeast"/>
        </w:trPr>
        <w:tc>
          <w:tcPr>
            <w:tcW w:w="2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金华市投资促进中心</w:t>
            </w:r>
          </w:p>
        </w:tc>
        <w:tc>
          <w:tcPr>
            <w:tcW w:w="7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984.03</w:t>
            </w:r>
          </w:p>
        </w:tc>
        <w:tc>
          <w:tcPr>
            <w:tcW w:w="8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984.03</w:t>
            </w:r>
          </w:p>
        </w:tc>
        <w:tc>
          <w:tcPr>
            <w:tcW w:w="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984.03</w:t>
            </w:r>
          </w:p>
        </w:tc>
        <w:tc>
          <w:tcPr>
            <w:tcW w:w="6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7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9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6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Calibri" w:hAnsi="Calibri" w:cs="Calibri"/>
                <w:i w:val="0"/>
                <w:color w:val="000000"/>
                <w:sz w:val="22"/>
                <w:szCs w:val="22"/>
                <w:u w:val="none"/>
              </w:rPr>
            </w:pPr>
          </w:p>
        </w:tc>
        <w:tc>
          <w:tcPr>
            <w:tcW w:w="7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7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bl>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rPr>
      </w:pP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rPr>
      </w:pP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rPr>
      </w:pP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rPr>
      </w:pP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rPr>
      </w:pP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rPr>
      </w:pP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rPr>
      </w:pP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rPr>
      </w:pPr>
    </w:p>
    <w:tbl>
      <w:tblPr>
        <w:tblStyle w:val="10"/>
        <w:tblW w:w="216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16"/>
        <w:gridCol w:w="284"/>
        <w:gridCol w:w="48"/>
        <w:gridCol w:w="915"/>
        <w:gridCol w:w="193"/>
        <w:gridCol w:w="33"/>
        <w:gridCol w:w="51"/>
        <w:gridCol w:w="441"/>
        <w:gridCol w:w="30"/>
        <w:gridCol w:w="224"/>
        <w:gridCol w:w="73"/>
        <w:gridCol w:w="345"/>
        <w:gridCol w:w="214"/>
        <w:gridCol w:w="73"/>
        <w:gridCol w:w="225"/>
        <w:gridCol w:w="262"/>
        <w:gridCol w:w="145"/>
        <w:gridCol w:w="59"/>
        <w:gridCol w:w="562"/>
        <w:gridCol w:w="261"/>
        <w:gridCol w:w="155"/>
        <w:gridCol w:w="216"/>
        <w:gridCol w:w="530"/>
        <w:gridCol w:w="337"/>
        <w:gridCol w:w="314"/>
        <w:gridCol w:w="135"/>
        <w:gridCol w:w="843"/>
        <w:gridCol w:w="168"/>
        <w:gridCol w:w="533"/>
        <w:gridCol w:w="90"/>
        <w:gridCol w:w="141"/>
        <w:gridCol w:w="399"/>
        <w:gridCol w:w="152"/>
        <w:gridCol w:w="90"/>
        <w:gridCol w:w="448"/>
        <w:gridCol w:w="90"/>
        <w:gridCol w:w="349"/>
        <w:gridCol w:w="91"/>
        <w:gridCol w:w="192"/>
        <w:gridCol w:w="172"/>
        <w:gridCol w:w="540"/>
        <w:gridCol w:w="302"/>
        <w:gridCol w:w="271"/>
        <w:gridCol w:w="253"/>
        <w:gridCol w:w="387"/>
        <w:gridCol w:w="707"/>
        <w:gridCol w:w="237"/>
        <w:gridCol w:w="152"/>
        <w:gridCol w:w="1259"/>
        <w:gridCol w:w="4"/>
        <w:gridCol w:w="1"/>
        <w:gridCol w:w="90"/>
        <w:gridCol w:w="934"/>
        <w:gridCol w:w="1061"/>
        <w:gridCol w:w="995"/>
        <w:gridCol w:w="960"/>
        <w:gridCol w:w="448"/>
        <w:gridCol w:w="1416"/>
        <w:gridCol w:w="9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0"/>
          <w:wAfter w:w="6864" w:type="dxa"/>
          <w:trHeight w:val="390" w:hRule="atLeast"/>
        </w:trPr>
        <w:tc>
          <w:tcPr>
            <w:tcW w:w="1148" w:type="dxa"/>
            <w:gridSpan w:val="3"/>
            <w:shd w:val="clear" w:color="auto" w:fill="auto"/>
            <w:vAlign w:val="center"/>
          </w:tcPr>
          <w:p>
            <w:pPr>
              <w:jc w:val="center"/>
              <w:rPr>
                <w:rFonts w:hint="eastAsia" w:ascii="宋体" w:hAnsi="宋体" w:eastAsia="宋体" w:cs="宋体"/>
                <w:i w:val="0"/>
                <w:color w:val="000000"/>
                <w:sz w:val="20"/>
                <w:szCs w:val="20"/>
                <w:u w:val="none"/>
              </w:rPr>
            </w:pPr>
          </w:p>
        </w:tc>
        <w:tc>
          <w:tcPr>
            <w:tcW w:w="1960" w:type="dxa"/>
            <w:gridSpan w:val="8"/>
            <w:shd w:val="clear" w:color="auto" w:fill="auto"/>
            <w:vAlign w:val="center"/>
          </w:tcPr>
          <w:p>
            <w:pPr>
              <w:rPr>
                <w:rFonts w:hint="eastAsia" w:ascii="宋体" w:hAnsi="宋体" w:eastAsia="宋体" w:cs="宋体"/>
                <w:i w:val="0"/>
                <w:color w:val="000000"/>
                <w:sz w:val="20"/>
                <w:szCs w:val="20"/>
                <w:u w:val="none"/>
              </w:rPr>
            </w:pPr>
          </w:p>
        </w:tc>
        <w:tc>
          <w:tcPr>
            <w:tcW w:w="632" w:type="dxa"/>
            <w:gridSpan w:val="3"/>
            <w:shd w:val="clear" w:color="auto" w:fill="auto"/>
            <w:vAlign w:val="center"/>
          </w:tcPr>
          <w:p>
            <w:pPr>
              <w:rPr>
                <w:rFonts w:hint="eastAsia" w:ascii="宋体" w:hAnsi="宋体" w:eastAsia="宋体" w:cs="宋体"/>
                <w:i w:val="0"/>
                <w:color w:val="000000"/>
                <w:sz w:val="20"/>
                <w:szCs w:val="20"/>
                <w:u w:val="none"/>
              </w:rPr>
            </w:pPr>
          </w:p>
        </w:tc>
        <w:tc>
          <w:tcPr>
            <w:tcW w:w="632" w:type="dxa"/>
            <w:gridSpan w:val="3"/>
            <w:shd w:val="clear" w:color="auto" w:fill="auto"/>
            <w:vAlign w:val="center"/>
          </w:tcPr>
          <w:p>
            <w:pPr>
              <w:rPr>
                <w:rFonts w:hint="eastAsia" w:ascii="宋体" w:hAnsi="宋体" w:eastAsia="宋体" w:cs="宋体"/>
                <w:i w:val="0"/>
                <w:color w:val="000000"/>
                <w:sz w:val="20"/>
                <w:szCs w:val="20"/>
                <w:u w:val="none"/>
              </w:rPr>
            </w:pPr>
          </w:p>
        </w:tc>
        <w:tc>
          <w:tcPr>
            <w:tcW w:w="621" w:type="dxa"/>
            <w:gridSpan w:val="2"/>
            <w:shd w:val="clear" w:color="auto" w:fill="auto"/>
            <w:vAlign w:val="center"/>
          </w:tcPr>
          <w:p>
            <w:pPr>
              <w:rPr>
                <w:rFonts w:hint="eastAsia" w:ascii="宋体" w:hAnsi="宋体" w:eastAsia="宋体" w:cs="宋体"/>
                <w:i w:val="0"/>
                <w:color w:val="000000"/>
                <w:sz w:val="20"/>
                <w:szCs w:val="20"/>
                <w:u w:val="none"/>
              </w:rPr>
            </w:pPr>
          </w:p>
        </w:tc>
        <w:tc>
          <w:tcPr>
            <w:tcW w:w="632" w:type="dxa"/>
            <w:gridSpan w:val="3"/>
            <w:shd w:val="clear" w:color="auto" w:fill="auto"/>
            <w:vAlign w:val="bottom"/>
          </w:tcPr>
          <w:p>
            <w:pPr>
              <w:rPr>
                <w:rFonts w:hint="eastAsia" w:ascii="Arial" w:hAnsi="Arial" w:cs="Arial"/>
                <w:i w:val="0"/>
                <w:color w:val="000000"/>
                <w:sz w:val="20"/>
                <w:szCs w:val="20"/>
                <w:u w:val="none"/>
              </w:rPr>
            </w:pPr>
          </w:p>
        </w:tc>
        <w:tc>
          <w:tcPr>
            <w:tcW w:w="530" w:type="dxa"/>
            <w:shd w:val="clear" w:color="auto" w:fill="auto"/>
            <w:vAlign w:val="bottom"/>
          </w:tcPr>
          <w:p>
            <w:pPr>
              <w:rPr>
                <w:rFonts w:hint="default" w:ascii="Arial" w:hAnsi="Arial" w:cs="Arial"/>
                <w:i w:val="0"/>
                <w:color w:val="000000"/>
                <w:sz w:val="20"/>
                <w:szCs w:val="20"/>
                <w:u w:val="none"/>
              </w:rPr>
            </w:pPr>
          </w:p>
        </w:tc>
        <w:tc>
          <w:tcPr>
            <w:tcW w:w="337" w:type="dxa"/>
            <w:shd w:val="clear" w:color="auto" w:fill="auto"/>
            <w:vAlign w:val="bottom"/>
          </w:tcPr>
          <w:p>
            <w:pPr>
              <w:rPr>
                <w:rFonts w:hint="default" w:ascii="Arial" w:hAnsi="Arial" w:cs="Arial"/>
                <w:i w:val="0"/>
                <w:color w:val="000000"/>
                <w:sz w:val="20"/>
                <w:szCs w:val="20"/>
                <w:u w:val="none"/>
              </w:rPr>
            </w:pPr>
          </w:p>
        </w:tc>
        <w:tc>
          <w:tcPr>
            <w:tcW w:w="8315" w:type="dxa"/>
            <w:gridSpan w:val="25"/>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0"/>
          <w:wAfter w:w="6864" w:type="dxa"/>
          <w:trHeight w:val="705" w:hRule="atLeast"/>
        </w:trPr>
        <w:tc>
          <w:tcPr>
            <w:tcW w:w="14807" w:type="dxa"/>
            <w:gridSpan w:val="49"/>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2022年部门支出预算总表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819" w:type="dxa"/>
          <w:trHeight w:val="390" w:hRule="atLeast"/>
        </w:trPr>
        <w:tc>
          <w:tcPr>
            <w:tcW w:w="2256" w:type="dxa"/>
            <w:gridSpan w:val="5"/>
            <w:tcBorders>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306-金华市投资促进中心</w:t>
            </w:r>
          </w:p>
        </w:tc>
        <w:tc>
          <w:tcPr>
            <w:tcW w:w="4550" w:type="dxa"/>
            <w:gridSpan w:val="20"/>
            <w:shd w:val="clear" w:color="auto" w:fill="auto"/>
            <w:vAlign w:val="center"/>
          </w:tcPr>
          <w:p>
            <w:pPr>
              <w:jc w:val="center"/>
              <w:rPr>
                <w:rFonts w:hint="eastAsia" w:ascii="宋体" w:hAnsi="宋体" w:eastAsia="宋体" w:cs="宋体"/>
                <w:i w:val="0"/>
                <w:color w:val="000000"/>
                <w:sz w:val="20"/>
                <w:szCs w:val="20"/>
                <w:u w:val="none"/>
              </w:rPr>
            </w:pPr>
          </w:p>
        </w:tc>
        <w:tc>
          <w:tcPr>
            <w:tcW w:w="1146" w:type="dxa"/>
            <w:gridSpan w:val="3"/>
            <w:shd w:val="clear" w:color="auto" w:fill="auto"/>
            <w:vAlign w:val="center"/>
          </w:tcPr>
          <w:p>
            <w:pPr>
              <w:rPr>
                <w:rFonts w:hint="eastAsia" w:ascii="宋体" w:hAnsi="宋体" w:eastAsia="宋体" w:cs="宋体"/>
                <w:i w:val="0"/>
                <w:color w:val="000000"/>
                <w:sz w:val="20"/>
                <w:szCs w:val="20"/>
                <w:u w:val="none"/>
              </w:rPr>
            </w:pPr>
          </w:p>
        </w:tc>
        <w:tc>
          <w:tcPr>
            <w:tcW w:w="764" w:type="dxa"/>
            <w:gridSpan w:val="3"/>
            <w:shd w:val="clear" w:color="auto" w:fill="auto"/>
            <w:vAlign w:val="center"/>
          </w:tcPr>
          <w:p>
            <w:pPr>
              <w:rPr>
                <w:rFonts w:hint="eastAsia" w:ascii="宋体" w:hAnsi="宋体" w:eastAsia="宋体" w:cs="宋体"/>
                <w:i w:val="0"/>
                <w:color w:val="000000"/>
                <w:sz w:val="20"/>
                <w:szCs w:val="20"/>
                <w:u w:val="none"/>
              </w:rPr>
            </w:pPr>
          </w:p>
        </w:tc>
        <w:tc>
          <w:tcPr>
            <w:tcW w:w="6091" w:type="dxa"/>
            <w:gridSpan w:val="18"/>
            <w:shd w:val="clear" w:color="auto" w:fill="auto"/>
            <w:vAlign w:val="center"/>
          </w:tcPr>
          <w:p>
            <w:pPr>
              <w:rPr>
                <w:rFonts w:hint="eastAsia" w:ascii="宋体" w:hAnsi="宋体" w:eastAsia="宋体" w:cs="宋体"/>
                <w:i w:val="0"/>
                <w:color w:val="000000"/>
                <w:sz w:val="20"/>
                <w:szCs w:val="20"/>
                <w:u w:val="none"/>
              </w:rPr>
            </w:pPr>
          </w:p>
        </w:tc>
        <w:tc>
          <w:tcPr>
            <w:tcW w:w="1029" w:type="dxa"/>
            <w:gridSpan w:val="4"/>
            <w:shd w:val="clear" w:color="auto" w:fill="auto"/>
            <w:vAlign w:val="bottom"/>
          </w:tcPr>
          <w:p>
            <w:pPr>
              <w:rPr>
                <w:rFonts w:hint="default" w:ascii="Arial" w:hAnsi="Arial" w:cs="Arial"/>
                <w:i w:val="0"/>
                <w:color w:val="000000"/>
                <w:sz w:val="20"/>
                <w:szCs w:val="20"/>
                <w:u w:val="none"/>
              </w:rPr>
            </w:pPr>
          </w:p>
        </w:tc>
        <w:tc>
          <w:tcPr>
            <w:tcW w:w="1061" w:type="dxa"/>
            <w:shd w:val="clear" w:color="auto" w:fill="auto"/>
            <w:vAlign w:val="bottom"/>
          </w:tcPr>
          <w:p>
            <w:pPr>
              <w:rPr>
                <w:rFonts w:hint="default" w:ascii="Arial" w:hAnsi="Arial" w:cs="Arial"/>
                <w:i w:val="0"/>
                <w:color w:val="000000"/>
                <w:sz w:val="20"/>
                <w:szCs w:val="20"/>
                <w:u w:val="none"/>
              </w:rPr>
            </w:pPr>
          </w:p>
        </w:tc>
        <w:tc>
          <w:tcPr>
            <w:tcW w:w="995"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0"/>
          <w:wAfter w:w="6864" w:type="dxa"/>
          <w:trHeight w:val="384" w:hRule="atLeast"/>
        </w:trPr>
        <w:tc>
          <w:tcPr>
            <w:tcW w:w="2256"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4550" w:type="dxa"/>
            <w:gridSpan w:val="20"/>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14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总计</w:t>
            </w:r>
          </w:p>
        </w:tc>
        <w:tc>
          <w:tcPr>
            <w:tcW w:w="229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995"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213"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事业单位经营支出</w:t>
            </w:r>
          </w:p>
        </w:tc>
        <w:tc>
          <w:tcPr>
            <w:tcW w:w="109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上缴上级支出</w:t>
            </w:r>
          </w:p>
        </w:tc>
        <w:tc>
          <w:tcPr>
            <w:tcW w:w="12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0"/>
          <w:wAfter w:w="6864" w:type="dxa"/>
          <w:trHeight w:val="356" w:hRule="atLeast"/>
        </w:trPr>
        <w:tc>
          <w:tcPr>
            <w:tcW w:w="225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550" w:type="dxa"/>
            <w:gridSpan w:val="20"/>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4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人员支出</w:t>
            </w:r>
          </w:p>
        </w:tc>
        <w:tc>
          <w:tcPr>
            <w:tcW w:w="11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w:t>
            </w:r>
          </w:p>
        </w:tc>
        <w:tc>
          <w:tcPr>
            <w:tcW w:w="99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13"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9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0"/>
          <w:wAfter w:w="6864" w:type="dxa"/>
          <w:trHeight w:val="259" w:hRule="atLeast"/>
        </w:trPr>
        <w:tc>
          <w:tcPr>
            <w:tcW w:w="22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550"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2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0"/>
          <w:wAfter w:w="6864" w:type="dxa"/>
          <w:trHeight w:val="292" w:hRule="atLeast"/>
        </w:trPr>
        <w:tc>
          <w:tcPr>
            <w:tcW w:w="22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550"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1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984.03</w:t>
            </w:r>
          </w:p>
        </w:tc>
        <w:tc>
          <w:tcPr>
            <w:tcW w:w="11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597.24</w:t>
            </w:r>
          </w:p>
        </w:tc>
        <w:tc>
          <w:tcPr>
            <w:tcW w:w="11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96.61</w:t>
            </w:r>
          </w:p>
        </w:tc>
        <w:tc>
          <w:tcPr>
            <w:tcW w:w="9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290.18</w:t>
            </w:r>
          </w:p>
        </w:tc>
        <w:tc>
          <w:tcPr>
            <w:tcW w:w="12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0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0"/>
          <w:wAfter w:w="6864" w:type="dxa"/>
          <w:trHeight w:val="390" w:hRule="atLeast"/>
        </w:trPr>
        <w:tc>
          <w:tcPr>
            <w:tcW w:w="22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4550"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一般公共服务支出</w:t>
            </w:r>
          </w:p>
        </w:tc>
        <w:tc>
          <w:tcPr>
            <w:tcW w:w="11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847.30</w:t>
            </w:r>
          </w:p>
        </w:tc>
        <w:tc>
          <w:tcPr>
            <w:tcW w:w="11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460.51</w:t>
            </w:r>
          </w:p>
        </w:tc>
        <w:tc>
          <w:tcPr>
            <w:tcW w:w="11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96.61</w:t>
            </w:r>
          </w:p>
        </w:tc>
        <w:tc>
          <w:tcPr>
            <w:tcW w:w="9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290.18</w:t>
            </w:r>
          </w:p>
        </w:tc>
        <w:tc>
          <w:tcPr>
            <w:tcW w:w="12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0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0"/>
          <w:wAfter w:w="6864" w:type="dxa"/>
          <w:trHeight w:val="390" w:hRule="atLeast"/>
        </w:trPr>
        <w:tc>
          <w:tcPr>
            <w:tcW w:w="22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20103</w:t>
            </w:r>
          </w:p>
        </w:tc>
        <w:tc>
          <w:tcPr>
            <w:tcW w:w="4550"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政府办公厅（室）及相关机构事务</w:t>
            </w:r>
          </w:p>
        </w:tc>
        <w:tc>
          <w:tcPr>
            <w:tcW w:w="11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847.30</w:t>
            </w:r>
          </w:p>
        </w:tc>
        <w:tc>
          <w:tcPr>
            <w:tcW w:w="11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460.51</w:t>
            </w:r>
          </w:p>
        </w:tc>
        <w:tc>
          <w:tcPr>
            <w:tcW w:w="11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96.61</w:t>
            </w:r>
          </w:p>
        </w:tc>
        <w:tc>
          <w:tcPr>
            <w:tcW w:w="9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290.18</w:t>
            </w:r>
          </w:p>
        </w:tc>
        <w:tc>
          <w:tcPr>
            <w:tcW w:w="12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0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0"/>
          <w:wAfter w:w="6864" w:type="dxa"/>
          <w:trHeight w:val="390" w:hRule="atLeast"/>
        </w:trPr>
        <w:tc>
          <w:tcPr>
            <w:tcW w:w="22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2010301</w:t>
            </w:r>
          </w:p>
        </w:tc>
        <w:tc>
          <w:tcPr>
            <w:tcW w:w="4550"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行政运行</w:t>
            </w:r>
          </w:p>
        </w:tc>
        <w:tc>
          <w:tcPr>
            <w:tcW w:w="11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526.24</w:t>
            </w:r>
          </w:p>
        </w:tc>
        <w:tc>
          <w:tcPr>
            <w:tcW w:w="11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460.51</w:t>
            </w:r>
          </w:p>
        </w:tc>
        <w:tc>
          <w:tcPr>
            <w:tcW w:w="11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65.73</w:t>
            </w:r>
          </w:p>
        </w:tc>
        <w:tc>
          <w:tcPr>
            <w:tcW w:w="9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2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0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0"/>
          <w:wAfter w:w="6864" w:type="dxa"/>
          <w:trHeight w:val="390" w:hRule="atLeast"/>
        </w:trPr>
        <w:tc>
          <w:tcPr>
            <w:tcW w:w="22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2010302</w:t>
            </w:r>
          </w:p>
        </w:tc>
        <w:tc>
          <w:tcPr>
            <w:tcW w:w="4550"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一般行政管理事务</w:t>
            </w:r>
          </w:p>
        </w:tc>
        <w:tc>
          <w:tcPr>
            <w:tcW w:w="11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30.88</w:t>
            </w:r>
          </w:p>
        </w:tc>
        <w:tc>
          <w:tcPr>
            <w:tcW w:w="11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1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30.88</w:t>
            </w:r>
          </w:p>
        </w:tc>
        <w:tc>
          <w:tcPr>
            <w:tcW w:w="9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2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0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0"/>
          <w:wAfter w:w="6864" w:type="dxa"/>
          <w:trHeight w:val="390" w:hRule="atLeast"/>
        </w:trPr>
        <w:tc>
          <w:tcPr>
            <w:tcW w:w="22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2010399</w:t>
            </w:r>
          </w:p>
        </w:tc>
        <w:tc>
          <w:tcPr>
            <w:tcW w:w="4550"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其他政府办公厅（室）及相关机构事务支出</w:t>
            </w:r>
          </w:p>
        </w:tc>
        <w:tc>
          <w:tcPr>
            <w:tcW w:w="11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290.18</w:t>
            </w:r>
          </w:p>
        </w:tc>
        <w:tc>
          <w:tcPr>
            <w:tcW w:w="11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1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9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290.18</w:t>
            </w:r>
          </w:p>
        </w:tc>
        <w:tc>
          <w:tcPr>
            <w:tcW w:w="12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0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0"/>
          <w:wAfter w:w="6864" w:type="dxa"/>
          <w:trHeight w:val="390" w:hRule="atLeast"/>
        </w:trPr>
        <w:tc>
          <w:tcPr>
            <w:tcW w:w="22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4550"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社会保障和就业支出</w:t>
            </w:r>
          </w:p>
        </w:tc>
        <w:tc>
          <w:tcPr>
            <w:tcW w:w="11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53.55</w:t>
            </w:r>
          </w:p>
        </w:tc>
        <w:tc>
          <w:tcPr>
            <w:tcW w:w="11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53.55</w:t>
            </w:r>
          </w:p>
        </w:tc>
        <w:tc>
          <w:tcPr>
            <w:tcW w:w="11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9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2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0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0"/>
          <w:wAfter w:w="6864" w:type="dxa"/>
          <w:trHeight w:val="390" w:hRule="atLeast"/>
        </w:trPr>
        <w:tc>
          <w:tcPr>
            <w:tcW w:w="22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20805</w:t>
            </w:r>
          </w:p>
        </w:tc>
        <w:tc>
          <w:tcPr>
            <w:tcW w:w="4550"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行政事业单位养老支出</w:t>
            </w:r>
          </w:p>
        </w:tc>
        <w:tc>
          <w:tcPr>
            <w:tcW w:w="11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53.55</w:t>
            </w:r>
          </w:p>
        </w:tc>
        <w:tc>
          <w:tcPr>
            <w:tcW w:w="11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53.55</w:t>
            </w:r>
          </w:p>
        </w:tc>
        <w:tc>
          <w:tcPr>
            <w:tcW w:w="11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9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2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0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0"/>
          <w:wAfter w:w="6864" w:type="dxa"/>
          <w:trHeight w:val="390" w:hRule="atLeast"/>
        </w:trPr>
        <w:tc>
          <w:tcPr>
            <w:tcW w:w="22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2080501</w:t>
            </w:r>
          </w:p>
        </w:tc>
        <w:tc>
          <w:tcPr>
            <w:tcW w:w="4550"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行政单位离退休</w:t>
            </w:r>
          </w:p>
        </w:tc>
        <w:tc>
          <w:tcPr>
            <w:tcW w:w="11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3.25</w:t>
            </w:r>
          </w:p>
        </w:tc>
        <w:tc>
          <w:tcPr>
            <w:tcW w:w="11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3.25</w:t>
            </w:r>
          </w:p>
        </w:tc>
        <w:tc>
          <w:tcPr>
            <w:tcW w:w="11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9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2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0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0"/>
          <w:wAfter w:w="6864" w:type="dxa"/>
          <w:trHeight w:val="390" w:hRule="atLeast"/>
        </w:trPr>
        <w:tc>
          <w:tcPr>
            <w:tcW w:w="22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2080505</w:t>
            </w:r>
          </w:p>
        </w:tc>
        <w:tc>
          <w:tcPr>
            <w:tcW w:w="4550"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机关事业单位基本养老保险缴费支出</w:t>
            </w:r>
          </w:p>
        </w:tc>
        <w:tc>
          <w:tcPr>
            <w:tcW w:w="11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33.54</w:t>
            </w:r>
          </w:p>
        </w:tc>
        <w:tc>
          <w:tcPr>
            <w:tcW w:w="11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33.54</w:t>
            </w:r>
          </w:p>
        </w:tc>
        <w:tc>
          <w:tcPr>
            <w:tcW w:w="11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9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2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0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0"/>
          <w:wAfter w:w="6864" w:type="dxa"/>
          <w:trHeight w:val="390" w:hRule="atLeast"/>
        </w:trPr>
        <w:tc>
          <w:tcPr>
            <w:tcW w:w="22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2080506</w:t>
            </w:r>
          </w:p>
        </w:tc>
        <w:tc>
          <w:tcPr>
            <w:tcW w:w="4550"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机关事业单位职业年金缴费支出</w:t>
            </w:r>
          </w:p>
        </w:tc>
        <w:tc>
          <w:tcPr>
            <w:tcW w:w="11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16.77</w:t>
            </w:r>
          </w:p>
        </w:tc>
        <w:tc>
          <w:tcPr>
            <w:tcW w:w="11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16.77</w:t>
            </w:r>
          </w:p>
        </w:tc>
        <w:tc>
          <w:tcPr>
            <w:tcW w:w="11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9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2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0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0"/>
          <w:wAfter w:w="6864" w:type="dxa"/>
          <w:trHeight w:val="390" w:hRule="atLeast"/>
        </w:trPr>
        <w:tc>
          <w:tcPr>
            <w:tcW w:w="22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4550"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卫生健康支出</w:t>
            </w:r>
          </w:p>
        </w:tc>
        <w:tc>
          <w:tcPr>
            <w:tcW w:w="11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23.20</w:t>
            </w:r>
          </w:p>
        </w:tc>
        <w:tc>
          <w:tcPr>
            <w:tcW w:w="11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23.20</w:t>
            </w:r>
          </w:p>
        </w:tc>
        <w:tc>
          <w:tcPr>
            <w:tcW w:w="11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9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2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0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0"/>
          <w:wAfter w:w="6864" w:type="dxa"/>
          <w:trHeight w:val="390" w:hRule="atLeast"/>
        </w:trPr>
        <w:tc>
          <w:tcPr>
            <w:tcW w:w="22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21011</w:t>
            </w:r>
          </w:p>
        </w:tc>
        <w:tc>
          <w:tcPr>
            <w:tcW w:w="4550"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行政事业单位医疗</w:t>
            </w:r>
          </w:p>
        </w:tc>
        <w:tc>
          <w:tcPr>
            <w:tcW w:w="11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23.20</w:t>
            </w:r>
          </w:p>
        </w:tc>
        <w:tc>
          <w:tcPr>
            <w:tcW w:w="11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23.20</w:t>
            </w:r>
          </w:p>
        </w:tc>
        <w:tc>
          <w:tcPr>
            <w:tcW w:w="11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9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2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0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0"/>
          <w:wAfter w:w="6864" w:type="dxa"/>
          <w:trHeight w:val="390" w:hRule="atLeast"/>
        </w:trPr>
        <w:tc>
          <w:tcPr>
            <w:tcW w:w="22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2101101</w:t>
            </w:r>
          </w:p>
        </w:tc>
        <w:tc>
          <w:tcPr>
            <w:tcW w:w="4550"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行政单位医疗</w:t>
            </w:r>
          </w:p>
        </w:tc>
        <w:tc>
          <w:tcPr>
            <w:tcW w:w="11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23.20</w:t>
            </w:r>
          </w:p>
        </w:tc>
        <w:tc>
          <w:tcPr>
            <w:tcW w:w="11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23.20</w:t>
            </w:r>
          </w:p>
        </w:tc>
        <w:tc>
          <w:tcPr>
            <w:tcW w:w="11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9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2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0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0"/>
          <w:wAfter w:w="6864" w:type="dxa"/>
          <w:trHeight w:val="390" w:hRule="atLeast"/>
        </w:trPr>
        <w:tc>
          <w:tcPr>
            <w:tcW w:w="22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4550"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住房保障支出</w:t>
            </w:r>
          </w:p>
        </w:tc>
        <w:tc>
          <w:tcPr>
            <w:tcW w:w="11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59.98</w:t>
            </w:r>
          </w:p>
        </w:tc>
        <w:tc>
          <w:tcPr>
            <w:tcW w:w="11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59.98</w:t>
            </w:r>
          </w:p>
        </w:tc>
        <w:tc>
          <w:tcPr>
            <w:tcW w:w="11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9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2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0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0"/>
          <w:wAfter w:w="6864" w:type="dxa"/>
          <w:trHeight w:val="390" w:hRule="atLeast"/>
        </w:trPr>
        <w:tc>
          <w:tcPr>
            <w:tcW w:w="22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22102</w:t>
            </w:r>
          </w:p>
        </w:tc>
        <w:tc>
          <w:tcPr>
            <w:tcW w:w="4550"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住房改革支出</w:t>
            </w:r>
          </w:p>
        </w:tc>
        <w:tc>
          <w:tcPr>
            <w:tcW w:w="11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59.98</w:t>
            </w:r>
          </w:p>
        </w:tc>
        <w:tc>
          <w:tcPr>
            <w:tcW w:w="11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59.98</w:t>
            </w:r>
          </w:p>
        </w:tc>
        <w:tc>
          <w:tcPr>
            <w:tcW w:w="11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9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2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0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0"/>
          <w:wAfter w:w="6864" w:type="dxa"/>
          <w:trHeight w:val="390" w:hRule="atLeast"/>
        </w:trPr>
        <w:tc>
          <w:tcPr>
            <w:tcW w:w="22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2210201</w:t>
            </w:r>
          </w:p>
        </w:tc>
        <w:tc>
          <w:tcPr>
            <w:tcW w:w="4550"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住房公积金</w:t>
            </w:r>
          </w:p>
        </w:tc>
        <w:tc>
          <w:tcPr>
            <w:tcW w:w="11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59.98</w:t>
            </w:r>
          </w:p>
        </w:tc>
        <w:tc>
          <w:tcPr>
            <w:tcW w:w="11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59.98</w:t>
            </w:r>
          </w:p>
        </w:tc>
        <w:tc>
          <w:tcPr>
            <w:tcW w:w="11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9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2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0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8"/>
          <w:wAfter w:w="6859" w:type="dxa"/>
          <w:trHeight w:val="390" w:hRule="atLeast"/>
        </w:trPr>
        <w:tc>
          <w:tcPr>
            <w:tcW w:w="3965" w:type="dxa"/>
            <w:gridSpan w:val="15"/>
            <w:shd w:val="clear" w:color="auto" w:fill="auto"/>
            <w:vAlign w:val="bottom"/>
          </w:tcPr>
          <w:p>
            <w:pPr>
              <w:rPr>
                <w:rFonts w:hint="eastAsia" w:ascii="Arial" w:hAnsi="Arial" w:cs="Arial"/>
                <w:i w:val="0"/>
                <w:color w:val="000000"/>
                <w:sz w:val="20"/>
                <w:szCs w:val="20"/>
                <w:u w:val="none"/>
              </w:rPr>
            </w:pPr>
          </w:p>
        </w:tc>
        <w:tc>
          <w:tcPr>
            <w:tcW w:w="1289" w:type="dxa"/>
            <w:gridSpan w:val="5"/>
            <w:shd w:val="clear" w:color="auto" w:fill="auto"/>
            <w:vAlign w:val="bottom"/>
          </w:tcPr>
          <w:p>
            <w:pPr>
              <w:rPr>
                <w:rFonts w:hint="default" w:ascii="Arial" w:hAnsi="Arial" w:cs="Arial"/>
                <w:i w:val="0"/>
                <w:color w:val="000000"/>
                <w:sz w:val="20"/>
                <w:szCs w:val="20"/>
                <w:u w:val="none"/>
              </w:rPr>
            </w:pPr>
          </w:p>
        </w:tc>
        <w:tc>
          <w:tcPr>
            <w:tcW w:w="3231" w:type="dxa"/>
            <w:gridSpan w:val="9"/>
            <w:shd w:val="clear" w:color="auto" w:fill="auto"/>
            <w:vAlign w:val="bottom"/>
          </w:tcPr>
          <w:p>
            <w:pPr>
              <w:rPr>
                <w:rFonts w:hint="default" w:ascii="Arial" w:hAnsi="Arial" w:cs="Arial"/>
                <w:i w:val="0"/>
                <w:color w:val="000000"/>
                <w:sz w:val="20"/>
                <w:szCs w:val="20"/>
                <w:u w:val="none"/>
              </w:rPr>
            </w:pPr>
          </w:p>
        </w:tc>
        <w:tc>
          <w:tcPr>
            <w:tcW w:w="6327" w:type="dxa"/>
            <w:gridSpan w:val="22"/>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8"/>
          <w:wAfter w:w="6859" w:type="dxa"/>
          <w:trHeight w:val="196" w:hRule="atLeast"/>
        </w:trPr>
        <w:tc>
          <w:tcPr>
            <w:tcW w:w="3965" w:type="dxa"/>
            <w:gridSpan w:val="15"/>
            <w:shd w:val="clear" w:color="auto" w:fill="auto"/>
            <w:vAlign w:val="center"/>
          </w:tcPr>
          <w:p>
            <w:pPr>
              <w:rPr>
                <w:rFonts w:hint="eastAsia" w:ascii="宋体" w:hAnsi="宋体" w:eastAsia="宋体" w:cs="宋体"/>
                <w:i w:val="0"/>
                <w:color w:val="000000"/>
                <w:sz w:val="18"/>
                <w:szCs w:val="18"/>
                <w:u w:val="none"/>
              </w:rPr>
            </w:pPr>
          </w:p>
        </w:tc>
        <w:tc>
          <w:tcPr>
            <w:tcW w:w="1289" w:type="dxa"/>
            <w:gridSpan w:val="5"/>
            <w:shd w:val="clear" w:color="auto" w:fill="auto"/>
            <w:vAlign w:val="bottom"/>
          </w:tcPr>
          <w:p>
            <w:pPr>
              <w:rPr>
                <w:rFonts w:hint="default" w:ascii="Arial" w:hAnsi="Arial" w:cs="Arial"/>
                <w:i w:val="0"/>
                <w:color w:val="000000"/>
                <w:sz w:val="20"/>
                <w:szCs w:val="20"/>
                <w:u w:val="none"/>
              </w:rPr>
            </w:pPr>
          </w:p>
        </w:tc>
        <w:tc>
          <w:tcPr>
            <w:tcW w:w="3231" w:type="dxa"/>
            <w:gridSpan w:val="9"/>
            <w:shd w:val="clear" w:color="auto" w:fill="auto"/>
            <w:vAlign w:val="bottom"/>
          </w:tcPr>
          <w:p>
            <w:pPr>
              <w:rPr>
                <w:rFonts w:hint="default" w:ascii="Arial" w:hAnsi="Arial" w:cs="Arial"/>
                <w:i w:val="0"/>
                <w:color w:val="000000"/>
                <w:sz w:val="20"/>
                <w:szCs w:val="20"/>
                <w:u w:val="none"/>
              </w:rPr>
            </w:pPr>
          </w:p>
        </w:tc>
        <w:tc>
          <w:tcPr>
            <w:tcW w:w="6327" w:type="dxa"/>
            <w:gridSpan w:val="22"/>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8"/>
          <w:wAfter w:w="6859" w:type="dxa"/>
          <w:trHeight w:val="570" w:hRule="atLeast"/>
        </w:trPr>
        <w:tc>
          <w:tcPr>
            <w:tcW w:w="14812" w:type="dxa"/>
            <w:gridSpan w:val="51"/>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2022年部门财政拨款收支预算总表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7"/>
          <w:wAfter w:w="6769" w:type="dxa"/>
          <w:trHeight w:val="300" w:hRule="atLeast"/>
        </w:trPr>
        <w:tc>
          <w:tcPr>
            <w:tcW w:w="3965" w:type="dxa"/>
            <w:gridSpan w:val="15"/>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306-金华市投资促进中心</w:t>
            </w:r>
          </w:p>
        </w:tc>
        <w:tc>
          <w:tcPr>
            <w:tcW w:w="2976" w:type="dxa"/>
            <w:gridSpan w:val="11"/>
            <w:shd w:val="clear" w:color="auto" w:fill="auto"/>
            <w:vAlign w:val="bottom"/>
          </w:tcPr>
          <w:p>
            <w:pPr>
              <w:rPr>
                <w:rFonts w:hint="eastAsia" w:ascii="宋体" w:hAnsi="宋体" w:eastAsia="宋体" w:cs="宋体"/>
                <w:i w:val="0"/>
                <w:color w:val="000000"/>
                <w:sz w:val="20"/>
                <w:szCs w:val="20"/>
                <w:u w:val="none"/>
              </w:rPr>
            </w:pPr>
          </w:p>
        </w:tc>
        <w:tc>
          <w:tcPr>
            <w:tcW w:w="1634" w:type="dxa"/>
            <w:gridSpan w:val="4"/>
            <w:shd w:val="clear" w:color="auto" w:fill="auto"/>
            <w:vAlign w:val="bottom"/>
          </w:tcPr>
          <w:p>
            <w:pPr>
              <w:rPr>
                <w:rFonts w:hint="eastAsia" w:ascii="宋体" w:hAnsi="宋体" w:eastAsia="宋体" w:cs="宋体"/>
                <w:i w:val="0"/>
                <w:color w:val="000000"/>
                <w:sz w:val="20"/>
                <w:szCs w:val="20"/>
                <w:u w:val="none"/>
              </w:rPr>
            </w:pPr>
          </w:p>
        </w:tc>
        <w:tc>
          <w:tcPr>
            <w:tcW w:w="6327" w:type="dxa"/>
            <w:gridSpan w:val="22"/>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8"/>
          <w:wAfter w:w="6859" w:type="dxa"/>
          <w:trHeight w:val="495" w:hRule="atLeast"/>
        </w:trPr>
        <w:tc>
          <w:tcPr>
            <w:tcW w:w="6941" w:type="dxa"/>
            <w:gridSpan w:val="2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w:t>
            </w:r>
          </w:p>
        </w:tc>
        <w:tc>
          <w:tcPr>
            <w:tcW w:w="7871" w:type="dxa"/>
            <w:gridSpan w:val="2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8"/>
          <w:wAfter w:w="6859" w:type="dxa"/>
          <w:trHeight w:val="390" w:hRule="atLeast"/>
        </w:trPr>
        <w:tc>
          <w:tcPr>
            <w:tcW w:w="4227"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271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487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30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8"/>
          <w:wAfter w:w="6859" w:type="dxa"/>
          <w:trHeight w:val="390" w:hRule="atLeast"/>
        </w:trPr>
        <w:tc>
          <w:tcPr>
            <w:tcW w:w="4227"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一、财政拨款</w:t>
            </w:r>
          </w:p>
        </w:tc>
        <w:tc>
          <w:tcPr>
            <w:tcW w:w="271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984.03</w:t>
            </w:r>
          </w:p>
        </w:tc>
        <w:tc>
          <w:tcPr>
            <w:tcW w:w="487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一般公共服务支出</w:t>
            </w:r>
          </w:p>
        </w:tc>
        <w:tc>
          <w:tcPr>
            <w:tcW w:w="30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8"/>
          <w:wAfter w:w="6859" w:type="dxa"/>
          <w:trHeight w:val="390" w:hRule="atLeast"/>
        </w:trPr>
        <w:tc>
          <w:tcPr>
            <w:tcW w:w="4227"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一般公共预算</w:t>
            </w:r>
          </w:p>
        </w:tc>
        <w:tc>
          <w:tcPr>
            <w:tcW w:w="271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984.03</w:t>
            </w:r>
          </w:p>
        </w:tc>
        <w:tc>
          <w:tcPr>
            <w:tcW w:w="487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政府办公厅（室）及相关机构事务</w:t>
            </w:r>
          </w:p>
        </w:tc>
        <w:tc>
          <w:tcPr>
            <w:tcW w:w="30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8"/>
          <w:wAfter w:w="6859" w:type="dxa"/>
          <w:trHeight w:val="390" w:hRule="atLeast"/>
        </w:trPr>
        <w:tc>
          <w:tcPr>
            <w:tcW w:w="4227"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政府性基金预算</w:t>
            </w:r>
          </w:p>
        </w:tc>
        <w:tc>
          <w:tcPr>
            <w:tcW w:w="271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87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行政运行</w:t>
            </w:r>
          </w:p>
        </w:tc>
        <w:tc>
          <w:tcPr>
            <w:tcW w:w="30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8"/>
          <w:wAfter w:w="6859" w:type="dxa"/>
          <w:trHeight w:val="390" w:hRule="atLeast"/>
        </w:trPr>
        <w:tc>
          <w:tcPr>
            <w:tcW w:w="4227"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国有资本经营预算</w:t>
            </w:r>
          </w:p>
        </w:tc>
        <w:tc>
          <w:tcPr>
            <w:tcW w:w="271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87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一般行政管理事务</w:t>
            </w:r>
          </w:p>
        </w:tc>
        <w:tc>
          <w:tcPr>
            <w:tcW w:w="30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8"/>
          <w:wAfter w:w="6859" w:type="dxa"/>
          <w:trHeight w:val="390" w:hRule="atLeast"/>
        </w:trPr>
        <w:tc>
          <w:tcPr>
            <w:tcW w:w="4227"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71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87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其他政府办公厅（室）及相关机构事务支出</w:t>
            </w:r>
          </w:p>
        </w:tc>
        <w:tc>
          <w:tcPr>
            <w:tcW w:w="30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8"/>
          <w:wAfter w:w="6859" w:type="dxa"/>
          <w:trHeight w:val="390" w:hRule="atLeast"/>
        </w:trPr>
        <w:tc>
          <w:tcPr>
            <w:tcW w:w="4227"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71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87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社会保障和就业支出</w:t>
            </w:r>
          </w:p>
        </w:tc>
        <w:tc>
          <w:tcPr>
            <w:tcW w:w="30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8"/>
          <w:wAfter w:w="6859" w:type="dxa"/>
          <w:trHeight w:val="390" w:hRule="atLeast"/>
        </w:trPr>
        <w:tc>
          <w:tcPr>
            <w:tcW w:w="4227"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71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87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行政事业单位养老支出</w:t>
            </w:r>
          </w:p>
        </w:tc>
        <w:tc>
          <w:tcPr>
            <w:tcW w:w="30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8"/>
          <w:wAfter w:w="6859" w:type="dxa"/>
          <w:trHeight w:val="390" w:hRule="atLeast"/>
        </w:trPr>
        <w:tc>
          <w:tcPr>
            <w:tcW w:w="4227"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71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87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行政单位离退休</w:t>
            </w:r>
          </w:p>
        </w:tc>
        <w:tc>
          <w:tcPr>
            <w:tcW w:w="30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8"/>
          <w:wAfter w:w="6859" w:type="dxa"/>
          <w:trHeight w:val="390" w:hRule="atLeast"/>
        </w:trPr>
        <w:tc>
          <w:tcPr>
            <w:tcW w:w="4227"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71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87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机关事业单位基本养老保险缴费支出</w:t>
            </w:r>
          </w:p>
        </w:tc>
        <w:tc>
          <w:tcPr>
            <w:tcW w:w="30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8"/>
          <w:wAfter w:w="6859" w:type="dxa"/>
          <w:trHeight w:val="390" w:hRule="atLeast"/>
        </w:trPr>
        <w:tc>
          <w:tcPr>
            <w:tcW w:w="4227"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71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87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机关事业单位职业年金缴费支出</w:t>
            </w:r>
          </w:p>
        </w:tc>
        <w:tc>
          <w:tcPr>
            <w:tcW w:w="30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8"/>
          <w:wAfter w:w="6859" w:type="dxa"/>
          <w:trHeight w:val="390" w:hRule="atLeast"/>
        </w:trPr>
        <w:tc>
          <w:tcPr>
            <w:tcW w:w="4227"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71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87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卫生健康支出</w:t>
            </w:r>
          </w:p>
        </w:tc>
        <w:tc>
          <w:tcPr>
            <w:tcW w:w="30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8"/>
          <w:wAfter w:w="6859" w:type="dxa"/>
          <w:trHeight w:val="390" w:hRule="atLeast"/>
        </w:trPr>
        <w:tc>
          <w:tcPr>
            <w:tcW w:w="4227"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71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87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行政事业单位医疗</w:t>
            </w:r>
          </w:p>
        </w:tc>
        <w:tc>
          <w:tcPr>
            <w:tcW w:w="30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8"/>
          <w:wAfter w:w="6859" w:type="dxa"/>
          <w:trHeight w:val="390" w:hRule="atLeast"/>
        </w:trPr>
        <w:tc>
          <w:tcPr>
            <w:tcW w:w="4227"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71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87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行政单位医疗</w:t>
            </w:r>
          </w:p>
        </w:tc>
        <w:tc>
          <w:tcPr>
            <w:tcW w:w="30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8"/>
          <w:wAfter w:w="6859" w:type="dxa"/>
          <w:trHeight w:val="390" w:hRule="atLeast"/>
        </w:trPr>
        <w:tc>
          <w:tcPr>
            <w:tcW w:w="4227"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71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87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住房保障支出</w:t>
            </w:r>
          </w:p>
        </w:tc>
        <w:tc>
          <w:tcPr>
            <w:tcW w:w="30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8"/>
          <w:wAfter w:w="6859" w:type="dxa"/>
          <w:trHeight w:val="390" w:hRule="atLeast"/>
        </w:trPr>
        <w:tc>
          <w:tcPr>
            <w:tcW w:w="4227"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71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87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住房改革支出</w:t>
            </w:r>
          </w:p>
        </w:tc>
        <w:tc>
          <w:tcPr>
            <w:tcW w:w="30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8"/>
          <w:wAfter w:w="6859" w:type="dxa"/>
          <w:trHeight w:val="390" w:hRule="atLeast"/>
        </w:trPr>
        <w:tc>
          <w:tcPr>
            <w:tcW w:w="4227"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71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87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住房公积金</w:t>
            </w:r>
          </w:p>
        </w:tc>
        <w:tc>
          <w:tcPr>
            <w:tcW w:w="30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8"/>
          <w:wAfter w:w="6859" w:type="dxa"/>
          <w:trHeight w:val="390" w:hRule="atLeast"/>
        </w:trPr>
        <w:tc>
          <w:tcPr>
            <w:tcW w:w="4227"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  总  计</w:t>
            </w:r>
          </w:p>
        </w:tc>
        <w:tc>
          <w:tcPr>
            <w:tcW w:w="271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984.03</w:t>
            </w:r>
          </w:p>
        </w:tc>
        <w:tc>
          <w:tcPr>
            <w:tcW w:w="4871" w:type="dxa"/>
            <w:gridSpan w:val="1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  总  计</w:t>
            </w:r>
          </w:p>
        </w:tc>
        <w:tc>
          <w:tcPr>
            <w:tcW w:w="30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8"/>
          <w:wAfter w:w="6859" w:type="dxa"/>
          <w:trHeight w:val="390" w:hRule="atLeast"/>
        </w:trPr>
        <w:tc>
          <w:tcPr>
            <w:tcW w:w="1100" w:type="dxa"/>
            <w:gridSpan w:val="2"/>
            <w:shd w:val="clear" w:color="auto" w:fill="auto"/>
            <w:vAlign w:val="center"/>
          </w:tcPr>
          <w:p>
            <w:pPr>
              <w:jc w:val="center"/>
              <w:rPr>
                <w:rFonts w:hint="eastAsia" w:ascii="宋体" w:hAnsi="宋体" w:eastAsia="宋体" w:cs="宋体"/>
                <w:i w:val="0"/>
                <w:color w:val="000000"/>
                <w:sz w:val="20"/>
                <w:szCs w:val="20"/>
                <w:u w:val="none"/>
              </w:rPr>
            </w:pPr>
          </w:p>
        </w:tc>
        <w:tc>
          <w:tcPr>
            <w:tcW w:w="963" w:type="dxa"/>
            <w:gridSpan w:val="2"/>
            <w:shd w:val="clear" w:color="auto" w:fill="auto"/>
            <w:vAlign w:val="center"/>
          </w:tcPr>
          <w:p>
            <w:pPr>
              <w:jc w:val="center"/>
              <w:rPr>
                <w:rFonts w:hint="eastAsia" w:ascii="宋体" w:hAnsi="宋体" w:eastAsia="宋体" w:cs="宋体"/>
                <w:i w:val="0"/>
                <w:color w:val="000000"/>
                <w:sz w:val="20"/>
                <w:szCs w:val="20"/>
                <w:u w:val="none"/>
              </w:rPr>
            </w:pPr>
          </w:p>
        </w:tc>
        <w:tc>
          <w:tcPr>
            <w:tcW w:w="718" w:type="dxa"/>
            <w:gridSpan w:val="4"/>
            <w:shd w:val="clear" w:color="auto" w:fill="auto"/>
            <w:vAlign w:val="center"/>
          </w:tcPr>
          <w:p>
            <w:pPr>
              <w:rPr>
                <w:rFonts w:hint="eastAsia" w:ascii="宋体" w:hAnsi="宋体" w:eastAsia="宋体" w:cs="宋体"/>
                <w:i w:val="0"/>
                <w:color w:val="000000"/>
                <w:sz w:val="20"/>
                <w:szCs w:val="20"/>
                <w:u w:val="none"/>
              </w:rPr>
            </w:pPr>
          </w:p>
        </w:tc>
        <w:tc>
          <w:tcPr>
            <w:tcW w:w="672" w:type="dxa"/>
            <w:gridSpan w:val="4"/>
            <w:shd w:val="clear" w:color="auto" w:fill="auto"/>
            <w:vAlign w:val="center"/>
          </w:tcPr>
          <w:p>
            <w:pPr>
              <w:rPr>
                <w:rFonts w:hint="eastAsia" w:ascii="宋体" w:hAnsi="宋体" w:eastAsia="宋体" w:cs="宋体"/>
                <w:i w:val="0"/>
                <w:color w:val="000000"/>
                <w:sz w:val="20"/>
                <w:szCs w:val="20"/>
                <w:u w:val="none"/>
              </w:rPr>
            </w:pPr>
          </w:p>
        </w:tc>
        <w:tc>
          <w:tcPr>
            <w:tcW w:w="978" w:type="dxa"/>
            <w:gridSpan w:val="6"/>
            <w:shd w:val="clear" w:color="auto" w:fill="auto"/>
            <w:vAlign w:val="center"/>
          </w:tcPr>
          <w:p>
            <w:pPr>
              <w:rPr>
                <w:rFonts w:hint="eastAsia" w:ascii="宋体" w:hAnsi="宋体" w:eastAsia="宋体" w:cs="宋体"/>
                <w:i w:val="0"/>
                <w:color w:val="000000"/>
                <w:sz w:val="20"/>
                <w:szCs w:val="20"/>
                <w:u w:val="none"/>
              </w:rPr>
            </w:pPr>
          </w:p>
        </w:tc>
        <w:tc>
          <w:tcPr>
            <w:tcW w:w="978" w:type="dxa"/>
            <w:gridSpan w:val="3"/>
            <w:shd w:val="clear" w:color="auto" w:fill="auto"/>
            <w:vAlign w:val="center"/>
          </w:tcPr>
          <w:p>
            <w:pPr>
              <w:rPr>
                <w:rFonts w:hint="eastAsia" w:ascii="宋体" w:hAnsi="宋体" w:eastAsia="宋体" w:cs="宋体"/>
                <w:i w:val="0"/>
                <w:color w:val="000000"/>
                <w:sz w:val="20"/>
                <w:szCs w:val="20"/>
                <w:u w:val="none"/>
              </w:rPr>
            </w:pPr>
          </w:p>
        </w:tc>
        <w:tc>
          <w:tcPr>
            <w:tcW w:w="9403" w:type="dxa"/>
            <w:gridSpan w:val="30"/>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8"/>
          <w:wAfter w:w="6859" w:type="dxa"/>
          <w:trHeight w:val="480" w:hRule="atLeast"/>
        </w:trPr>
        <w:tc>
          <w:tcPr>
            <w:tcW w:w="14812" w:type="dxa"/>
            <w:gridSpan w:val="51"/>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2022年部门一般公共预算支出表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55" w:type="dxa"/>
          <w:trHeight w:val="390" w:hRule="atLeast"/>
        </w:trPr>
        <w:tc>
          <w:tcPr>
            <w:tcW w:w="2340" w:type="dxa"/>
            <w:gridSpan w:val="7"/>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306-金华市投资促进中心</w:t>
            </w:r>
          </w:p>
        </w:tc>
        <w:tc>
          <w:tcPr>
            <w:tcW w:w="5444" w:type="dxa"/>
            <w:gridSpan w:val="20"/>
            <w:shd w:val="clear" w:color="auto" w:fill="auto"/>
            <w:vAlign w:val="center"/>
          </w:tcPr>
          <w:p>
            <w:pPr>
              <w:jc w:val="left"/>
              <w:rPr>
                <w:rFonts w:hint="eastAsia" w:ascii="宋体" w:hAnsi="宋体" w:eastAsia="宋体" w:cs="宋体"/>
                <w:i w:val="0"/>
                <w:color w:val="000000"/>
                <w:sz w:val="20"/>
                <w:szCs w:val="20"/>
                <w:u w:val="none"/>
              </w:rPr>
            </w:pPr>
          </w:p>
        </w:tc>
        <w:tc>
          <w:tcPr>
            <w:tcW w:w="1483" w:type="dxa"/>
            <w:gridSpan w:val="6"/>
            <w:shd w:val="clear" w:color="auto" w:fill="auto"/>
            <w:vAlign w:val="center"/>
          </w:tcPr>
          <w:p>
            <w:pPr>
              <w:rPr>
                <w:rFonts w:hint="eastAsia" w:ascii="宋体" w:hAnsi="宋体" w:eastAsia="宋体" w:cs="宋体"/>
                <w:i w:val="0"/>
                <w:color w:val="000000"/>
                <w:sz w:val="20"/>
                <w:szCs w:val="20"/>
                <w:u w:val="none"/>
              </w:rPr>
            </w:pPr>
          </w:p>
        </w:tc>
        <w:tc>
          <w:tcPr>
            <w:tcW w:w="90" w:type="dxa"/>
            <w:shd w:val="clear" w:color="auto" w:fill="auto"/>
            <w:vAlign w:val="center"/>
          </w:tcPr>
          <w:p>
            <w:pPr>
              <w:rPr>
                <w:rFonts w:hint="eastAsia" w:ascii="宋体" w:hAnsi="宋体" w:eastAsia="宋体" w:cs="宋体"/>
                <w:i w:val="0"/>
                <w:color w:val="000000"/>
                <w:sz w:val="20"/>
                <w:szCs w:val="20"/>
                <w:u w:val="none"/>
              </w:rPr>
            </w:pPr>
          </w:p>
        </w:tc>
        <w:tc>
          <w:tcPr>
            <w:tcW w:w="978" w:type="dxa"/>
            <w:gridSpan w:val="4"/>
            <w:shd w:val="clear" w:color="auto" w:fill="auto"/>
            <w:vAlign w:val="center"/>
          </w:tcPr>
          <w:p>
            <w:pPr>
              <w:rPr>
                <w:rFonts w:hint="eastAsia" w:ascii="宋体" w:hAnsi="宋体" w:eastAsia="宋体" w:cs="宋体"/>
                <w:i w:val="0"/>
                <w:color w:val="000000"/>
                <w:sz w:val="20"/>
                <w:szCs w:val="20"/>
                <w:u w:val="none"/>
              </w:rPr>
            </w:pPr>
          </w:p>
        </w:tc>
        <w:tc>
          <w:tcPr>
            <w:tcW w:w="8965" w:type="dxa"/>
            <w:gridSpan w:val="19"/>
            <w:shd w:val="clear" w:color="auto" w:fill="auto"/>
            <w:vAlign w:val="center"/>
          </w:tcPr>
          <w:p>
            <w:pPr>
              <w:rPr>
                <w:rFonts w:hint="eastAsia" w:ascii="宋体" w:hAnsi="宋体" w:eastAsia="宋体" w:cs="宋体"/>
                <w:i w:val="0"/>
                <w:color w:val="000000"/>
                <w:sz w:val="20"/>
                <w:szCs w:val="20"/>
                <w:u w:val="none"/>
              </w:rPr>
            </w:pPr>
          </w:p>
        </w:tc>
        <w:tc>
          <w:tcPr>
            <w:tcW w:w="1416"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8"/>
          <w:wAfter w:w="6859" w:type="dxa"/>
          <w:trHeight w:val="485" w:hRule="atLeast"/>
        </w:trPr>
        <w:tc>
          <w:tcPr>
            <w:tcW w:w="2340" w:type="dxa"/>
            <w:gridSpan w:val="7"/>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5444" w:type="dxa"/>
            <w:gridSpan w:val="20"/>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483"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  计</w:t>
            </w:r>
          </w:p>
        </w:tc>
        <w:tc>
          <w:tcPr>
            <w:tcW w:w="4129"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41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8"/>
          <w:wAfter w:w="6859" w:type="dxa"/>
          <w:trHeight w:val="451" w:hRule="atLeast"/>
        </w:trPr>
        <w:tc>
          <w:tcPr>
            <w:tcW w:w="2340"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444" w:type="dxa"/>
            <w:gridSpan w:val="20"/>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483"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43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3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w:t>
            </w:r>
          </w:p>
        </w:tc>
        <w:tc>
          <w:tcPr>
            <w:tcW w:w="141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8"/>
          <w:wAfter w:w="6859" w:type="dxa"/>
          <w:trHeight w:val="390" w:hRule="atLeast"/>
        </w:trPr>
        <w:tc>
          <w:tcPr>
            <w:tcW w:w="2340" w:type="dxa"/>
            <w:gridSpan w:val="7"/>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444" w:type="dxa"/>
            <w:gridSpan w:val="20"/>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483" w:type="dxa"/>
            <w:gridSpan w:val="6"/>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32" w:type="dxa"/>
            <w:gridSpan w:val="7"/>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66" w:type="dxa"/>
            <w:gridSpan w:val="4"/>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31" w:type="dxa"/>
            <w:gridSpan w:val="3"/>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8"/>
          <w:wAfter w:w="6859" w:type="dxa"/>
          <w:trHeight w:val="390" w:hRule="atLeast"/>
        </w:trPr>
        <w:tc>
          <w:tcPr>
            <w:tcW w:w="2340" w:type="dxa"/>
            <w:gridSpan w:val="7"/>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5444" w:type="dxa"/>
            <w:gridSpan w:val="20"/>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483" w:type="dxa"/>
            <w:gridSpan w:val="6"/>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984.03</w:t>
            </w:r>
          </w:p>
        </w:tc>
        <w:tc>
          <w:tcPr>
            <w:tcW w:w="1432" w:type="dxa"/>
            <w:gridSpan w:val="7"/>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693.85</w:t>
            </w:r>
          </w:p>
        </w:tc>
        <w:tc>
          <w:tcPr>
            <w:tcW w:w="1366" w:type="dxa"/>
            <w:gridSpan w:val="4"/>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597.24</w:t>
            </w:r>
          </w:p>
        </w:tc>
        <w:tc>
          <w:tcPr>
            <w:tcW w:w="1331" w:type="dxa"/>
            <w:gridSpan w:val="3"/>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96.61</w:t>
            </w:r>
          </w:p>
        </w:tc>
        <w:tc>
          <w:tcPr>
            <w:tcW w:w="14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8"/>
          <w:wAfter w:w="6859" w:type="dxa"/>
          <w:trHeight w:val="390" w:hRule="atLeast"/>
        </w:trPr>
        <w:tc>
          <w:tcPr>
            <w:tcW w:w="2340" w:type="dxa"/>
            <w:gridSpan w:val="7"/>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w:t>
            </w:r>
          </w:p>
        </w:tc>
        <w:tc>
          <w:tcPr>
            <w:tcW w:w="5444" w:type="dxa"/>
            <w:gridSpan w:val="20"/>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一般公共服务支出</w:t>
            </w:r>
          </w:p>
        </w:tc>
        <w:tc>
          <w:tcPr>
            <w:tcW w:w="1483" w:type="dxa"/>
            <w:gridSpan w:val="6"/>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847.30</w:t>
            </w:r>
          </w:p>
        </w:tc>
        <w:tc>
          <w:tcPr>
            <w:tcW w:w="1432" w:type="dxa"/>
            <w:gridSpan w:val="7"/>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557.12</w:t>
            </w:r>
          </w:p>
        </w:tc>
        <w:tc>
          <w:tcPr>
            <w:tcW w:w="1366" w:type="dxa"/>
            <w:gridSpan w:val="4"/>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460.51</w:t>
            </w:r>
          </w:p>
        </w:tc>
        <w:tc>
          <w:tcPr>
            <w:tcW w:w="1331" w:type="dxa"/>
            <w:gridSpan w:val="3"/>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96.61</w:t>
            </w:r>
          </w:p>
        </w:tc>
        <w:tc>
          <w:tcPr>
            <w:tcW w:w="14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8"/>
          <w:wAfter w:w="6859" w:type="dxa"/>
          <w:trHeight w:val="390" w:hRule="atLeast"/>
        </w:trPr>
        <w:tc>
          <w:tcPr>
            <w:tcW w:w="2340" w:type="dxa"/>
            <w:gridSpan w:val="7"/>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20103</w:t>
            </w:r>
          </w:p>
        </w:tc>
        <w:tc>
          <w:tcPr>
            <w:tcW w:w="5444" w:type="dxa"/>
            <w:gridSpan w:val="20"/>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政府办公厅（室）及相关机构事务</w:t>
            </w:r>
          </w:p>
        </w:tc>
        <w:tc>
          <w:tcPr>
            <w:tcW w:w="1483" w:type="dxa"/>
            <w:gridSpan w:val="6"/>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847.30</w:t>
            </w:r>
          </w:p>
        </w:tc>
        <w:tc>
          <w:tcPr>
            <w:tcW w:w="1432" w:type="dxa"/>
            <w:gridSpan w:val="7"/>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557.12</w:t>
            </w:r>
          </w:p>
        </w:tc>
        <w:tc>
          <w:tcPr>
            <w:tcW w:w="1366" w:type="dxa"/>
            <w:gridSpan w:val="4"/>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460.51</w:t>
            </w:r>
          </w:p>
        </w:tc>
        <w:tc>
          <w:tcPr>
            <w:tcW w:w="1331" w:type="dxa"/>
            <w:gridSpan w:val="3"/>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96.61</w:t>
            </w:r>
          </w:p>
        </w:tc>
        <w:tc>
          <w:tcPr>
            <w:tcW w:w="14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8"/>
          <w:wAfter w:w="6859" w:type="dxa"/>
          <w:trHeight w:val="390" w:hRule="atLeast"/>
        </w:trPr>
        <w:tc>
          <w:tcPr>
            <w:tcW w:w="2340" w:type="dxa"/>
            <w:gridSpan w:val="7"/>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2010301</w:t>
            </w:r>
          </w:p>
        </w:tc>
        <w:tc>
          <w:tcPr>
            <w:tcW w:w="5444" w:type="dxa"/>
            <w:gridSpan w:val="20"/>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行政运行</w:t>
            </w:r>
          </w:p>
        </w:tc>
        <w:tc>
          <w:tcPr>
            <w:tcW w:w="1483" w:type="dxa"/>
            <w:gridSpan w:val="6"/>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526.24</w:t>
            </w:r>
          </w:p>
        </w:tc>
        <w:tc>
          <w:tcPr>
            <w:tcW w:w="1432" w:type="dxa"/>
            <w:gridSpan w:val="7"/>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526.24</w:t>
            </w:r>
          </w:p>
        </w:tc>
        <w:tc>
          <w:tcPr>
            <w:tcW w:w="1366" w:type="dxa"/>
            <w:gridSpan w:val="4"/>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460.51</w:t>
            </w:r>
          </w:p>
        </w:tc>
        <w:tc>
          <w:tcPr>
            <w:tcW w:w="1331" w:type="dxa"/>
            <w:gridSpan w:val="3"/>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65.73</w:t>
            </w:r>
          </w:p>
        </w:tc>
        <w:tc>
          <w:tcPr>
            <w:tcW w:w="14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8"/>
          <w:wAfter w:w="6859" w:type="dxa"/>
          <w:trHeight w:val="390" w:hRule="atLeast"/>
        </w:trPr>
        <w:tc>
          <w:tcPr>
            <w:tcW w:w="2340" w:type="dxa"/>
            <w:gridSpan w:val="7"/>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2010302</w:t>
            </w:r>
          </w:p>
        </w:tc>
        <w:tc>
          <w:tcPr>
            <w:tcW w:w="5444" w:type="dxa"/>
            <w:gridSpan w:val="20"/>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一般行政管理事务</w:t>
            </w:r>
          </w:p>
        </w:tc>
        <w:tc>
          <w:tcPr>
            <w:tcW w:w="1483" w:type="dxa"/>
            <w:gridSpan w:val="6"/>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30.88</w:t>
            </w:r>
          </w:p>
        </w:tc>
        <w:tc>
          <w:tcPr>
            <w:tcW w:w="1432" w:type="dxa"/>
            <w:gridSpan w:val="7"/>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30.88</w:t>
            </w:r>
          </w:p>
        </w:tc>
        <w:tc>
          <w:tcPr>
            <w:tcW w:w="1366" w:type="dxa"/>
            <w:gridSpan w:val="4"/>
            <w:tcBorders>
              <w:top w:val="single" w:color="000000" w:sz="4" w:space="0"/>
              <w:left w:val="single" w:color="000000" w:sz="4" w:space="0"/>
              <w:bottom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331" w:type="dxa"/>
            <w:gridSpan w:val="3"/>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30.88</w:t>
            </w:r>
          </w:p>
        </w:tc>
        <w:tc>
          <w:tcPr>
            <w:tcW w:w="14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8"/>
          <w:wAfter w:w="6859" w:type="dxa"/>
          <w:trHeight w:val="390" w:hRule="atLeast"/>
        </w:trPr>
        <w:tc>
          <w:tcPr>
            <w:tcW w:w="2340" w:type="dxa"/>
            <w:gridSpan w:val="7"/>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2010399</w:t>
            </w:r>
          </w:p>
        </w:tc>
        <w:tc>
          <w:tcPr>
            <w:tcW w:w="5444" w:type="dxa"/>
            <w:gridSpan w:val="20"/>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其他政府办公厅（室）及相关机构事务支出</w:t>
            </w:r>
          </w:p>
        </w:tc>
        <w:tc>
          <w:tcPr>
            <w:tcW w:w="1483" w:type="dxa"/>
            <w:gridSpan w:val="6"/>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290.18</w:t>
            </w:r>
          </w:p>
        </w:tc>
        <w:tc>
          <w:tcPr>
            <w:tcW w:w="1432" w:type="dxa"/>
            <w:gridSpan w:val="7"/>
            <w:tcBorders>
              <w:top w:val="single" w:color="000000" w:sz="4" w:space="0"/>
              <w:left w:val="single" w:color="000000" w:sz="4" w:space="0"/>
              <w:bottom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366" w:type="dxa"/>
            <w:gridSpan w:val="4"/>
            <w:tcBorders>
              <w:top w:val="single" w:color="000000" w:sz="4" w:space="0"/>
              <w:left w:val="single" w:color="000000" w:sz="4" w:space="0"/>
              <w:bottom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331" w:type="dxa"/>
            <w:gridSpan w:val="3"/>
            <w:tcBorders>
              <w:top w:val="single" w:color="000000" w:sz="4" w:space="0"/>
              <w:left w:val="single" w:color="000000" w:sz="4" w:space="0"/>
              <w:bottom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8"/>
          <w:wAfter w:w="6859" w:type="dxa"/>
          <w:trHeight w:val="390" w:hRule="atLeast"/>
        </w:trPr>
        <w:tc>
          <w:tcPr>
            <w:tcW w:w="2340" w:type="dxa"/>
            <w:gridSpan w:val="7"/>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w:t>
            </w:r>
          </w:p>
        </w:tc>
        <w:tc>
          <w:tcPr>
            <w:tcW w:w="5444" w:type="dxa"/>
            <w:gridSpan w:val="20"/>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社会保障和就业支出</w:t>
            </w:r>
          </w:p>
        </w:tc>
        <w:tc>
          <w:tcPr>
            <w:tcW w:w="1483" w:type="dxa"/>
            <w:gridSpan w:val="6"/>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53.55</w:t>
            </w:r>
          </w:p>
        </w:tc>
        <w:tc>
          <w:tcPr>
            <w:tcW w:w="1432" w:type="dxa"/>
            <w:gridSpan w:val="7"/>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53.55</w:t>
            </w:r>
          </w:p>
        </w:tc>
        <w:tc>
          <w:tcPr>
            <w:tcW w:w="1366" w:type="dxa"/>
            <w:gridSpan w:val="4"/>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53.55</w:t>
            </w:r>
          </w:p>
        </w:tc>
        <w:tc>
          <w:tcPr>
            <w:tcW w:w="1331" w:type="dxa"/>
            <w:gridSpan w:val="3"/>
            <w:tcBorders>
              <w:top w:val="single" w:color="000000" w:sz="4" w:space="0"/>
              <w:left w:val="single" w:color="000000" w:sz="4" w:space="0"/>
              <w:bottom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8"/>
          <w:wAfter w:w="6859" w:type="dxa"/>
          <w:trHeight w:val="390" w:hRule="atLeast"/>
        </w:trPr>
        <w:tc>
          <w:tcPr>
            <w:tcW w:w="2340" w:type="dxa"/>
            <w:gridSpan w:val="7"/>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w:t>
            </w:r>
          </w:p>
        </w:tc>
        <w:tc>
          <w:tcPr>
            <w:tcW w:w="5444" w:type="dxa"/>
            <w:gridSpan w:val="20"/>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行政事业单位养老支出</w:t>
            </w:r>
          </w:p>
        </w:tc>
        <w:tc>
          <w:tcPr>
            <w:tcW w:w="1483" w:type="dxa"/>
            <w:gridSpan w:val="6"/>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53.55</w:t>
            </w:r>
          </w:p>
        </w:tc>
        <w:tc>
          <w:tcPr>
            <w:tcW w:w="1432" w:type="dxa"/>
            <w:gridSpan w:val="7"/>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53.55</w:t>
            </w:r>
          </w:p>
        </w:tc>
        <w:tc>
          <w:tcPr>
            <w:tcW w:w="1366" w:type="dxa"/>
            <w:gridSpan w:val="4"/>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53.55</w:t>
            </w:r>
          </w:p>
        </w:tc>
        <w:tc>
          <w:tcPr>
            <w:tcW w:w="1331" w:type="dxa"/>
            <w:gridSpan w:val="3"/>
            <w:tcBorders>
              <w:top w:val="single" w:color="000000" w:sz="4" w:space="0"/>
              <w:left w:val="single" w:color="000000" w:sz="4" w:space="0"/>
              <w:bottom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8"/>
          <w:wAfter w:w="6859" w:type="dxa"/>
          <w:trHeight w:val="390" w:hRule="atLeast"/>
        </w:trPr>
        <w:tc>
          <w:tcPr>
            <w:tcW w:w="2340" w:type="dxa"/>
            <w:gridSpan w:val="7"/>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2080501</w:t>
            </w:r>
          </w:p>
        </w:tc>
        <w:tc>
          <w:tcPr>
            <w:tcW w:w="5444" w:type="dxa"/>
            <w:gridSpan w:val="20"/>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行政单位离退休</w:t>
            </w:r>
          </w:p>
        </w:tc>
        <w:tc>
          <w:tcPr>
            <w:tcW w:w="1483" w:type="dxa"/>
            <w:gridSpan w:val="6"/>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3.25</w:t>
            </w:r>
          </w:p>
        </w:tc>
        <w:tc>
          <w:tcPr>
            <w:tcW w:w="1432" w:type="dxa"/>
            <w:gridSpan w:val="7"/>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3.25</w:t>
            </w:r>
          </w:p>
        </w:tc>
        <w:tc>
          <w:tcPr>
            <w:tcW w:w="1366" w:type="dxa"/>
            <w:gridSpan w:val="4"/>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3.25</w:t>
            </w:r>
          </w:p>
        </w:tc>
        <w:tc>
          <w:tcPr>
            <w:tcW w:w="1331" w:type="dxa"/>
            <w:gridSpan w:val="3"/>
            <w:tcBorders>
              <w:top w:val="single" w:color="000000" w:sz="4" w:space="0"/>
              <w:left w:val="single" w:color="000000" w:sz="4" w:space="0"/>
              <w:bottom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8"/>
          <w:wAfter w:w="6859" w:type="dxa"/>
          <w:trHeight w:val="390" w:hRule="atLeast"/>
        </w:trPr>
        <w:tc>
          <w:tcPr>
            <w:tcW w:w="2340" w:type="dxa"/>
            <w:gridSpan w:val="7"/>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2080505</w:t>
            </w:r>
          </w:p>
        </w:tc>
        <w:tc>
          <w:tcPr>
            <w:tcW w:w="5444" w:type="dxa"/>
            <w:gridSpan w:val="20"/>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机关事业单位基本养老保险缴费支出</w:t>
            </w:r>
          </w:p>
        </w:tc>
        <w:tc>
          <w:tcPr>
            <w:tcW w:w="1483" w:type="dxa"/>
            <w:gridSpan w:val="6"/>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33.54</w:t>
            </w:r>
          </w:p>
        </w:tc>
        <w:tc>
          <w:tcPr>
            <w:tcW w:w="1432" w:type="dxa"/>
            <w:gridSpan w:val="7"/>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33.54</w:t>
            </w:r>
          </w:p>
        </w:tc>
        <w:tc>
          <w:tcPr>
            <w:tcW w:w="1366" w:type="dxa"/>
            <w:gridSpan w:val="4"/>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33.54</w:t>
            </w:r>
          </w:p>
        </w:tc>
        <w:tc>
          <w:tcPr>
            <w:tcW w:w="1331" w:type="dxa"/>
            <w:gridSpan w:val="3"/>
            <w:tcBorders>
              <w:top w:val="single" w:color="000000" w:sz="4" w:space="0"/>
              <w:left w:val="single" w:color="000000" w:sz="4" w:space="0"/>
              <w:bottom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8"/>
          <w:wAfter w:w="6859" w:type="dxa"/>
          <w:trHeight w:val="390" w:hRule="atLeast"/>
        </w:trPr>
        <w:tc>
          <w:tcPr>
            <w:tcW w:w="2340" w:type="dxa"/>
            <w:gridSpan w:val="7"/>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2080506</w:t>
            </w:r>
          </w:p>
        </w:tc>
        <w:tc>
          <w:tcPr>
            <w:tcW w:w="5444" w:type="dxa"/>
            <w:gridSpan w:val="20"/>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机关事业单位职业年金缴费支出</w:t>
            </w:r>
          </w:p>
        </w:tc>
        <w:tc>
          <w:tcPr>
            <w:tcW w:w="1483" w:type="dxa"/>
            <w:gridSpan w:val="6"/>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16.77</w:t>
            </w:r>
          </w:p>
        </w:tc>
        <w:tc>
          <w:tcPr>
            <w:tcW w:w="1432" w:type="dxa"/>
            <w:gridSpan w:val="7"/>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16.77</w:t>
            </w:r>
          </w:p>
        </w:tc>
        <w:tc>
          <w:tcPr>
            <w:tcW w:w="1366" w:type="dxa"/>
            <w:gridSpan w:val="4"/>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16.77</w:t>
            </w:r>
          </w:p>
        </w:tc>
        <w:tc>
          <w:tcPr>
            <w:tcW w:w="1331" w:type="dxa"/>
            <w:gridSpan w:val="3"/>
            <w:tcBorders>
              <w:top w:val="single" w:color="000000" w:sz="4" w:space="0"/>
              <w:left w:val="single" w:color="000000" w:sz="4" w:space="0"/>
              <w:bottom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8"/>
          <w:wAfter w:w="6859" w:type="dxa"/>
          <w:trHeight w:val="390" w:hRule="atLeast"/>
        </w:trPr>
        <w:tc>
          <w:tcPr>
            <w:tcW w:w="2340" w:type="dxa"/>
            <w:gridSpan w:val="7"/>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5444" w:type="dxa"/>
            <w:gridSpan w:val="20"/>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卫生健康支出</w:t>
            </w:r>
          </w:p>
        </w:tc>
        <w:tc>
          <w:tcPr>
            <w:tcW w:w="1483" w:type="dxa"/>
            <w:gridSpan w:val="6"/>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23.20</w:t>
            </w:r>
          </w:p>
        </w:tc>
        <w:tc>
          <w:tcPr>
            <w:tcW w:w="1432" w:type="dxa"/>
            <w:gridSpan w:val="7"/>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23.20</w:t>
            </w:r>
          </w:p>
        </w:tc>
        <w:tc>
          <w:tcPr>
            <w:tcW w:w="1366" w:type="dxa"/>
            <w:gridSpan w:val="4"/>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23.20</w:t>
            </w:r>
          </w:p>
        </w:tc>
        <w:tc>
          <w:tcPr>
            <w:tcW w:w="1331" w:type="dxa"/>
            <w:gridSpan w:val="3"/>
            <w:tcBorders>
              <w:top w:val="single" w:color="000000" w:sz="4" w:space="0"/>
              <w:left w:val="single" w:color="000000" w:sz="4" w:space="0"/>
              <w:bottom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8"/>
          <w:wAfter w:w="6859" w:type="dxa"/>
          <w:trHeight w:val="390" w:hRule="atLeast"/>
        </w:trPr>
        <w:tc>
          <w:tcPr>
            <w:tcW w:w="2340" w:type="dxa"/>
            <w:gridSpan w:val="7"/>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21011</w:t>
            </w:r>
          </w:p>
        </w:tc>
        <w:tc>
          <w:tcPr>
            <w:tcW w:w="5444" w:type="dxa"/>
            <w:gridSpan w:val="20"/>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行政事业单位医疗</w:t>
            </w:r>
          </w:p>
        </w:tc>
        <w:tc>
          <w:tcPr>
            <w:tcW w:w="1483" w:type="dxa"/>
            <w:gridSpan w:val="6"/>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23.20</w:t>
            </w:r>
          </w:p>
        </w:tc>
        <w:tc>
          <w:tcPr>
            <w:tcW w:w="1432" w:type="dxa"/>
            <w:gridSpan w:val="7"/>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23.20</w:t>
            </w:r>
          </w:p>
        </w:tc>
        <w:tc>
          <w:tcPr>
            <w:tcW w:w="1366" w:type="dxa"/>
            <w:gridSpan w:val="4"/>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23.20</w:t>
            </w:r>
          </w:p>
        </w:tc>
        <w:tc>
          <w:tcPr>
            <w:tcW w:w="1331" w:type="dxa"/>
            <w:gridSpan w:val="3"/>
            <w:tcBorders>
              <w:top w:val="single" w:color="000000" w:sz="4" w:space="0"/>
              <w:left w:val="single" w:color="000000" w:sz="4" w:space="0"/>
              <w:bottom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8"/>
          <w:wAfter w:w="6859" w:type="dxa"/>
          <w:trHeight w:val="390" w:hRule="atLeast"/>
        </w:trPr>
        <w:tc>
          <w:tcPr>
            <w:tcW w:w="2340" w:type="dxa"/>
            <w:gridSpan w:val="7"/>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2101101</w:t>
            </w:r>
          </w:p>
        </w:tc>
        <w:tc>
          <w:tcPr>
            <w:tcW w:w="5444" w:type="dxa"/>
            <w:gridSpan w:val="20"/>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行政单位医疗</w:t>
            </w:r>
          </w:p>
        </w:tc>
        <w:tc>
          <w:tcPr>
            <w:tcW w:w="1483" w:type="dxa"/>
            <w:gridSpan w:val="6"/>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23.20</w:t>
            </w:r>
          </w:p>
        </w:tc>
        <w:tc>
          <w:tcPr>
            <w:tcW w:w="1432" w:type="dxa"/>
            <w:gridSpan w:val="7"/>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23.20</w:t>
            </w:r>
          </w:p>
        </w:tc>
        <w:tc>
          <w:tcPr>
            <w:tcW w:w="1366" w:type="dxa"/>
            <w:gridSpan w:val="4"/>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23.20</w:t>
            </w:r>
          </w:p>
        </w:tc>
        <w:tc>
          <w:tcPr>
            <w:tcW w:w="1331" w:type="dxa"/>
            <w:gridSpan w:val="3"/>
            <w:tcBorders>
              <w:top w:val="single" w:color="000000" w:sz="4" w:space="0"/>
              <w:left w:val="single" w:color="000000" w:sz="4" w:space="0"/>
              <w:bottom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8"/>
          <w:wAfter w:w="6859" w:type="dxa"/>
          <w:trHeight w:val="390" w:hRule="atLeast"/>
        </w:trPr>
        <w:tc>
          <w:tcPr>
            <w:tcW w:w="2340" w:type="dxa"/>
            <w:gridSpan w:val="7"/>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w:t>
            </w:r>
          </w:p>
        </w:tc>
        <w:tc>
          <w:tcPr>
            <w:tcW w:w="5444" w:type="dxa"/>
            <w:gridSpan w:val="20"/>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住房保障支出</w:t>
            </w:r>
          </w:p>
        </w:tc>
        <w:tc>
          <w:tcPr>
            <w:tcW w:w="1483" w:type="dxa"/>
            <w:gridSpan w:val="6"/>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59.98</w:t>
            </w:r>
          </w:p>
        </w:tc>
        <w:tc>
          <w:tcPr>
            <w:tcW w:w="1432" w:type="dxa"/>
            <w:gridSpan w:val="7"/>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59.98</w:t>
            </w:r>
          </w:p>
        </w:tc>
        <w:tc>
          <w:tcPr>
            <w:tcW w:w="1366" w:type="dxa"/>
            <w:gridSpan w:val="4"/>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59.98</w:t>
            </w:r>
          </w:p>
        </w:tc>
        <w:tc>
          <w:tcPr>
            <w:tcW w:w="1331" w:type="dxa"/>
            <w:gridSpan w:val="3"/>
            <w:tcBorders>
              <w:top w:val="single" w:color="000000" w:sz="4" w:space="0"/>
              <w:left w:val="single" w:color="000000" w:sz="4" w:space="0"/>
              <w:bottom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8"/>
          <w:wAfter w:w="6859" w:type="dxa"/>
          <w:trHeight w:val="390" w:hRule="atLeast"/>
        </w:trPr>
        <w:tc>
          <w:tcPr>
            <w:tcW w:w="2340" w:type="dxa"/>
            <w:gridSpan w:val="7"/>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22102</w:t>
            </w:r>
          </w:p>
        </w:tc>
        <w:tc>
          <w:tcPr>
            <w:tcW w:w="5444" w:type="dxa"/>
            <w:gridSpan w:val="20"/>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住房改革支出</w:t>
            </w:r>
          </w:p>
        </w:tc>
        <w:tc>
          <w:tcPr>
            <w:tcW w:w="1483" w:type="dxa"/>
            <w:gridSpan w:val="6"/>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59.98</w:t>
            </w:r>
          </w:p>
        </w:tc>
        <w:tc>
          <w:tcPr>
            <w:tcW w:w="1432" w:type="dxa"/>
            <w:gridSpan w:val="7"/>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59.98</w:t>
            </w:r>
          </w:p>
        </w:tc>
        <w:tc>
          <w:tcPr>
            <w:tcW w:w="1366" w:type="dxa"/>
            <w:gridSpan w:val="4"/>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59.98</w:t>
            </w:r>
          </w:p>
        </w:tc>
        <w:tc>
          <w:tcPr>
            <w:tcW w:w="1331" w:type="dxa"/>
            <w:gridSpan w:val="3"/>
            <w:tcBorders>
              <w:top w:val="single" w:color="000000" w:sz="4" w:space="0"/>
              <w:left w:val="single" w:color="000000" w:sz="4" w:space="0"/>
              <w:bottom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8"/>
          <w:wAfter w:w="6859" w:type="dxa"/>
          <w:trHeight w:val="390" w:hRule="atLeast"/>
        </w:trPr>
        <w:tc>
          <w:tcPr>
            <w:tcW w:w="2340" w:type="dxa"/>
            <w:gridSpan w:val="7"/>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2210201</w:t>
            </w:r>
          </w:p>
        </w:tc>
        <w:tc>
          <w:tcPr>
            <w:tcW w:w="5444" w:type="dxa"/>
            <w:gridSpan w:val="20"/>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住房公积金</w:t>
            </w:r>
          </w:p>
        </w:tc>
        <w:tc>
          <w:tcPr>
            <w:tcW w:w="1483" w:type="dxa"/>
            <w:gridSpan w:val="6"/>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59.98</w:t>
            </w:r>
          </w:p>
        </w:tc>
        <w:tc>
          <w:tcPr>
            <w:tcW w:w="1432" w:type="dxa"/>
            <w:gridSpan w:val="7"/>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59.98</w:t>
            </w:r>
          </w:p>
        </w:tc>
        <w:tc>
          <w:tcPr>
            <w:tcW w:w="1366" w:type="dxa"/>
            <w:gridSpan w:val="4"/>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59.98</w:t>
            </w:r>
          </w:p>
        </w:tc>
        <w:tc>
          <w:tcPr>
            <w:tcW w:w="1331" w:type="dxa"/>
            <w:gridSpan w:val="3"/>
            <w:tcBorders>
              <w:top w:val="single" w:color="000000" w:sz="4" w:space="0"/>
              <w:left w:val="single" w:color="000000" w:sz="4" w:space="0"/>
              <w:bottom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9"/>
          <w:wAfter w:w="6860" w:type="dxa"/>
          <w:trHeight w:val="278" w:hRule="atLeast"/>
        </w:trPr>
        <w:tc>
          <w:tcPr>
            <w:tcW w:w="816" w:type="dxa"/>
            <w:shd w:val="clear" w:color="auto" w:fill="auto"/>
            <w:vAlign w:val="center"/>
          </w:tcPr>
          <w:p>
            <w:pPr>
              <w:jc w:val="center"/>
              <w:rPr>
                <w:rFonts w:hint="eastAsia" w:ascii="宋体" w:hAnsi="宋体" w:eastAsia="宋体" w:cs="宋体"/>
                <w:i w:val="0"/>
                <w:color w:val="000000"/>
                <w:sz w:val="20"/>
                <w:szCs w:val="20"/>
                <w:u w:val="none"/>
              </w:rPr>
            </w:pPr>
          </w:p>
        </w:tc>
        <w:tc>
          <w:tcPr>
            <w:tcW w:w="1473" w:type="dxa"/>
            <w:gridSpan w:val="5"/>
            <w:shd w:val="clear" w:color="auto" w:fill="auto"/>
            <w:vAlign w:val="center"/>
          </w:tcPr>
          <w:p>
            <w:pPr>
              <w:jc w:val="center"/>
              <w:rPr>
                <w:rFonts w:hint="eastAsia" w:ascii="宋体" w:hAnsi="宋体" w:eastAsia="宋体" w:cs="宋体"/>
                <w:i w:val="0"/>
                <w:color w:val="000000"/>
                <w:sz w:val="20"/>
                <w:szCs w:val="20"/>
                <w:u w:val="none"/>
              </w:rPr>
            </w:pPr>
          </w:p>
        </w:tc>
        <w:tc>
          <w:tcPr>
            <w:tcW w:w="746" w:type="dxa"/>
            <w:gridSpan w:val="4"/>
            <w:shd w:val="clear" w:color="auto" w:fill="auto"/>
            <w:vAlign w:val="bottom"/>
          </w:tcPr>
          <w:p>
            <w:pPr>
              <w:rPr>
                <w:rFonts w:hint="eastAsia" w:ascii="Arial" w:hAnsi="Arial" w:cs="Arial"/>
                <w:i w:val="0"/>
                <w:color w:val="000000"/>
                <w:sz w:val="20"/>
                <w:szCs w:val="20"/>
                <w:u w:val="none"/>
              </w:rPr>
            </w:pPr>
          </w:p>
        </w:tc>
        <w:tc>
          <w:tcPr>
            <w:tcW w:w="632" w:type="dxa"/>
            <w:gridSpan w:val="3"/>
            <w:shd w:val="clear" w:color="auto" w:fill="auto"/>
            <w:vAlign w:val="center"/>
          </w:tcPr>
          <w:p>
            <w:pPr>
              <w:rPr>
                <w:rFonts w:hint="eastAsia" w:ascii="宋体" w:hAnsi="宋体" w:eastAsia="宋体" w:cs="宋体"/>
                <w:i w:val="0"/>
                <w:color w:val="000000"/>
                <w:sz w:val="20"/>
                <w:szCs w:val="20"/>
                <w:u w:val="none"/>
              </w:rPr>
            </w:pPr>
          </w:p>
        </w:tc>
        <w:tc>
          <w:tcPr>
            <w:tcW w:w="11144" w:type="dxa"/>
            <w:gridSpan w:val="37"/>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9"/>
          <w:wAfter w:w="6860" w:type="dxa"/>
          <w:trHeight w:val="857" w:hRule="atLeast"/>
        </w:trPr>
        <w:tc>
          <w:tcPr>
            <w:tcW w:w="14811" w:type="dxa"/>
            <w:gridSpan w:val="50"/>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2022年部门一般公共预算基本支出表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4" w:hRule="atLeast"/>
        </w:trPr>
        <w:tc>
          <w:tcPr>
            <w:tcW w:w="2811" w:type="dxa"/>
            <w:gridSpan w:val="9"/>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306-金华市投资促进中心</w:t>
            </w:r>
          </w:p>
        </w:tc>
        <w:tc>
          <w:tcPr>
            <w:tcW w:w="6994" w:type="dxa"/>
            <w:gridSpan w:val="26"/>
            <w:shd w:val="clear" w:color="auto" w:fill="auto"/>
            <w:vAlign w:val="center"/>
          </w:tcPr>
          <w:p>
            <w:pPr>
              <w:jc w:val="left"/>
              <w:rPr>
                <w:rFonts w:hint="eastAsia" w:ascii="宋体" w:hAnsi="宋体" w:eastAsia="宋体" w:cs="宋体"/>
                <w:i w:val="0"/>
                <w:color w:val="000000"/>
                <w:sz w:val="20"/>
                <w:szCs w:val="20"/>
                <w:u w:val="none"/>
              </w:rPr>
            </w:pPr>
          </w:p>
        </w:tc>
        <w:tc>
          <w:tcPr>
            <w:tcW w:w="90" w:type="dxa"/>
            <w:shd w:val="clear" w:color="auto" w:fill="auto"/>
            <w:vAlign w:val="bottom"/>
          </w:tcPr>
          <w:p>
            <w:pPr>
              <w:rPr>
                <w:rFonts w:hint="default" w:ascii="Arial" w:hAnsi="Arial" w:cs="Arial"/>
                <w:i w:val="0"/>
                <w:color w:val="000000"/>
                <w:sz w:val="20"/>
                <w:szCs w:val="20"/>
                <w:u w:val="none"/>
              </w:rPr>
            </w:pPr>
          </w:p>
        </w:tc>
        <w:tc>
          <w:tcPr>
            <w:tcW w:w="632" w:type="dxa"/>
            <w:gridSpan w:val="3"/>
            <w:shd w:val="clear" w:color="auto" w:fill="auto"/>
            <w:vAlign w:val="center"/>
          </w:tcPr>
          <w:p>
            <w:pPr>
              <w:rPr>
                <w:rFonts w:hint="eastAsia" w:ascii="宋体" w:hAnsi="宋体" w:eastAsia="宋体" w:cs="宋体"/>
                <w:i w:val="0"/>
                <w:color w:val="000000"/>
                <w:sz w:val="20"/>
                <w:szCs w:val="20"/>
                <w:u w:val="none"/>
              </w:rPr>
            </w:pPr>
          </w:p>
        </w:tc>
        <w:tc>
          <w:tcPr>
            <w:tcW w:w="11144" w:type="dxa"/>
            <w:gridSpan w:val="20"/>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9"/>
          <w:wAfter w:w="6860" w:type="dxa"/>
          <w:trHeight w:val="641" w:hRule="atLeast"/>
        </w:trPr>
        <w:tc>
          <w:tcPr>
            <w:tcW w:w="9805" w:type="dxa"/>
            <w:gridSpan w:val="3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经济分类科目</w:t>
            </w:r>
          </w:p>
        </w:tc>
        <w:tc>
          <w:tcPr>
            <w:tcW w:w="5006"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9"/>
          <w:wAfter w:w="6860" w:type="dxa"/>
          <w:trHeight w:val="402" w:hRule="atLeast"/>
        </w:trPr>
        <w:tc>
          <w:tcPr>
            <w:tcW w:w="281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6994" w:type="dxa"/>
            <w:gridSpan w:val="2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73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6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w:t>
            </w:r>
          </w:p>
        </w:tc>
        <w:tc>
          <w:tcPr>
            <w:tcW w:w="16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9"/>
          <w:wAfter w:w="6860" w:type="dxa"/>
          <w:trHeight w:val="463" w:hRule="atLeast"/>
        </w:trPr>
        <w:tc>
          <w:tcPr>
            <w:tcW w:w="2811" w:type="dxa"/>
            <w:gridSpan w:val="9"/>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994" w:type="dxa"/>
            <w:gridSpan w:val="26"/>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73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6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6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9"/>
          <w:wAfter w:w="6860" w:type="dxa"/>
          <w:trHeight w:val="402" w:hRule="atLeast"/>
        </w:trPr>
        <w:tc>
          <w:tcPr>
            <w:tcW w:w="2811" w:type="dxa"/>
            <w:gridSpan w:val="9"/>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6994" w:type="dxa"/>
            <w:gridSpan w:val="26"/>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73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693.85</w:t>
            </w:r>
          </w:p>
        </w:tc>
        <w:tc>
          <w:tcPr>
            <w:tcW w:w="16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597.24</w:t>
            </w:r>
          </w:p>
        </w:tc>
        <w:tc>
          <w:tcPr>
            <w:tcW w:w="16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9"/>
          <w:wAfter w:w="6860" w:type="dxa"/>
          <w:trHeight w:val="388" w:hRule="atLeast"/>
        </w:trPr>
        <w:tc>
          <w:tcPr>
            <w:tcW w:w="2811" w:type="dxa"/>
            <w:gridSpan w:val="9"/>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6994" w:type="dxa"/>
            <w:gridSpan w:val="26"/>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173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589.30</w:t>
            </w:r>
          </w:p>
        </w:tc>
        <w:tc>
          <w:tcPr>
            <w:tcW w:w="16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587.30</w:t>
            </w:r>
          </w:p>
        </w:tc>
        <w:tc>
          <w:tcPr>
            <w:tcW w:w="16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9"/>
          <w:wAfter w:w="6860" w:type="dxa"/>
          <w:trHeight w:val="318" w:hRule="atLeast"/>
        </w:trPr>
        <w:tc>
          <w:tcPr>
            <w:tcW w:w="2811" w:type="dxa"/>
            <w:gridSpan w:val="9"/>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30101</w:t>
            </w:r>
          </w:p>
        </w:tc>
        <w:tc>
          <w:tcPr>
            <w:tcW w:w="6994" w:type="dxa"/>
            <w:gridSpan w:val="26"/>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基本工资</w:t>
            </w:r>
          </w:p>
        </w:tc>
        <w:tc>
          <w:tcPr>
            <w:tcW w:w="173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90.47</w:t>
            </w:r>
          </w:p>
        </w:tc>
        <w:tc>
          <w:tcPr>
            <w:tcW w:w="16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90.47</w:t>
            </w:r>
          </w:p>
        </w:tc>
        <w:tc>
          <w:tcPr>
            <w:tcW w:w="16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9"/>
          <w:wAfter w:w="6860" w:type="dxa"/>
          <w:trHeight w:val="419" w:hRule="atLeast"/>
        </w:trPr>
        <w:tc>
          <w:tcPr>
            <w:tcW w:w="2811" w:type="dxa"/>
            <w:gridSpan w:val="9"/>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30102</w:t>
            </w:r>
          </w:p>
        </w:tc>
        <w:tc>
          <w:tcPr>
            <w:tcW w:w="6994" w:type="dxa"/>
            <w:gridSpan w:val="26"/>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津贴补贴</w:t>
            </w:r>
          </w:p>
        </w:tc>
        <w:tc>
          <w:tcPr>
            <w:tcW w:w="173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118.23</w:t>
            </w:r>
          </w:p>
        </w:tc>
        <w:tc>
          <w:tcPr>
            <w:tcW w:w="16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118.23</w:t>
            </w:r>
          </w:p>
        </w:tc>
        <w:tc>
          <w:tcPr>
            <w:tcW w:w="16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9"/>
          <w:wAfter w:w="6860" w:type="dxa"/>
          <w:trHeight w:val="352" w:hRule="atLeast"/>
        </w:trPr>
        <w:tc>
          <w:tcPr>
            <w:tcW w:w="2811" w:type="dxa"/>
            <w:gridSpan w:val="9"/>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30103</w:t>
            </w:r>
          </w:p>
        </w:tc>
        <w:tc>
          <w:tcPr>
            <w:tcW w:w="6994" w:type="dxa"/>
            <w:gridSpan w:val="26"/>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奖金</w:t>
            </w:r>
          </w:p>
        </w:tc>
        <w:tc>
          <w:tcPr>
            <w:tcW w:w="173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162.47</w:t>
            </w:r>
          </w:p>
        </w:tc>
        <w:tc>
          <w:tcPr>
            <w:tcW w:w="16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162.47</w:t>
            </w:r>
          </w:p>
        </w:tc>
        <w:tc>
          <w:tcPr>
            <w:tcW w:w="16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9"/>
          <w:wAfter w:w="6860" w:type="dxa"/>
          <w:trHeight w:val="419" w:hRule="atLeast"/>
        </w:trPr>
        <w:tc>
          <w:tcPr>
            <w:tcW w:w="2811" w:type="dxa"/>
            <w:gridSpan w:val="9"/>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30108</w:t>
            </w:r>
          </w:p>
        </w:tc>
        <w:tc>
          <w:tcPr>
            <w:tcW w:w="6994" w:type="dxa"/>
            <w:gridSpan w:val="26"/>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机关事业单位基本养老保险缴费</w:t>
            </w:r>
          </w:p>
        </w:tc>
        <w:tc>
          <w:tcPr>
            <w:tcW w:w="173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33.54</w:t>
            </w:r>
          </w:p>
        </w:tc>
        <w:tc>
          <w:tcPr>
            <w:tcW w:w="16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33.54</w:t>
            </w:r>
          </w:p>
        </w:tc>
        <w:tc>
          <w:tcPr>
            <w:tcW w:w="16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9"/>
          <w:wAfter w:w="6860" w:type="dxa"/>
          <w:trHeight w:val="402" w:hRule="atLeast"/>
        </w:trPr>
        <w:tc>
          <w:tcPr>
            <w:tcW w:w="2811" w:type="dxa"/>
            <w:gridSpan w:val="9"/>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30109</w:t>
            </w:r>
          </w:p>
        </w:tc>
        <w:tc>
          <w:tcPr>
            <w:tcW w:w="6994" w:type="dxa"/>
            <w:gridSpan w:val="26"/>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职业年金缴费</w:t>
            </w:r>
          </w:p>
        </w:tc>
        <w:tc>
          <w:tcPr>
            <w:tcW w:w="173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16.77</w:t>
            </w:r>
          </w:p>
        </w:tc>
        <w:tc>
          <w:tcPr>
            <w:tcW w:w="16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16.77</w:t>
            </w:r>
          </w:p>
        </w:tc>
        <w:tc>
          <w:tcPr>
            <w:tcW w:w="16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9"/>
          <w:wAfter w:w="6860" w:type="dxa"/>
          <w:trHeight w:val="419" w:hRule="atLeast"/>
        </w:trPr>
        <w:tc>
          <w:tcPr>
            <w:tcW w:w="2811" w:type="dxa"/>
            <w:gridSpan w:val="9"/>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30110</w:t>
            </w:r>
          </w:p>
        </w:tc>
        <w:tc>
          <w:tcPr>
            <w:tcW w:w="6994" w:type="dxa"/>
            <w:gridSpan w:val="26"/>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职工基本医疗保险缴费</w:t>
            </w:r>
          </w:p>
        </w:tc>
        <w:tc>
          <w:tcPr>
            <w:tcW w:w="173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15.72</w:t>
            </w:r>
          </w:p>
        </w:tc>
        <w:tc>
          <w:tcPr>
            <w:tcW w:w="16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15.72</w:t>
            </w:r>
          </w:p>
        </w:tc>
        <w:tc>
          <w:tcPr>
            <w:tcW w:w="16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9"/>
          <w:wAfter w:w="6860" w:type="dxa"/>
          <w:trHeight w:val="385" w:hRule="atLeast"/>
        </w:trPr>
        <w:tc>
          <w:tcPr>
            <w:tcW w:w="2811" w:type="dxa"/>
            <w:gridSpan w:val="9"/>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30111</w:t>
            </w:r>
          </w:p>
        </w:tc>
        <w:tc>
          <w:tcPr>
            <w:tcW w:w="6994" w:type="dxa"/>
            <w:gridSpan w:val="26"/>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公务员医疗补助缴费</w:t>
            </w:r>
          </w:p>
        </w:tc>
        <w:tc>
          <w:tcPr>
            <w:tcW w:w="173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7.48</w:t>
            </w:r>
          </w:p>
        </w:tc>
        <w:tc>
          <w:tcPr>
            <w:tcW w:w="16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7.48</w:t>
            </w:r>
          </w:p>
        </w:tc>
        <w:tc>
          <w:tcPr>
            <w:tcW w:w="16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9"/>
          <w:wAfter w:w="6860" w:type="dxa"/>
          <w:trHeight w:val="402" w:hRule="atLeast"/>
        </w:trPr>
        <w:tc>
          <w:tcPr>
            <w:tcW w:w="2811" w:type="dxa"/>
            <w:gridSpan w:val="9"/>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30112</w:t>
            </w:r>
          </w:p>
        </w:tc>
        <w:tc>
          <w:tcPr>
            <w:tcW w:w="6994" w:type="dxa"/>
            <w:gridSpan w:val="26"/>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其他社会保障缴费</w:t>
            </w:r>
          </w:p>
        </w:tc>
        <w:tc>
          <w:tcPr>
            <w:tcW w:w="173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2.42</w:t>
            </w:r>
          </w:p>
        </w:tc>
        <w:tc>
          <w:tcPr>
            <w:tcW w:w="16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0.42</w:t>
            </w:r>
          </w:p>
        </w:tc>
        <w:tc>
          <w:tcPr>
            <w:tcW w:w="16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9"/>
          <w:wAfter w:w="6860" w:type="dxa"/>
          <w:trHeight w:val="386" w:hRule="atLeast"/>
        </w:trPr>
        <w:tc>
          <w:tcPr>
            <w:tcW w:w="2811" w:type="dxa"/>
            <w:gridSpan w:val="9"/>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30113</w:t>
            </w:r>
          </w:p>
        </w:tc>
        <w:tc>
          <w:tcPr>
            <w:tcW w:w="6994" w:type="dxa"/>
            <w:gridSpan w:val="26"/>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住房公积金</w:t>
            </w:r>
          </w:p>
        </w:tc>
        <w:tc>
          <w:tcPr>
            <w:tcW w:w="173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59.98</w:t>
            </w:r>
          </w:p>
        </w:tc>
        <w:tc>
          <w:tcPr>
            <w:tcW w:w="16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59.98</w:t>
            </w:r>
          </w:p>
        </w:tc>
        <w:tc>
          <w:tcPr>
            <w:tcW w:w="16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9"/>
          <w:wAfter w:w="6860" w:type="dxa"/>
          <w:trHeight w:val="436" w:hRule="atLeast"/>
        </w:trPr>
        <w:tc>
          <w:tcPr>
            <w:tcW w:w="2811" w:type="dxa"/>
            <w:gridSpan w:val="9"/>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30199</w:t>
            </w:r>
          </w:p>
        </w:tc>
        <w:tc>
          <w:tcPr>
            <w:tcW w:w="6994" w:type="dxa"/>
            <w:gridSpan w:val="26"/>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其他工资福利支出</w:t>
            </w:r>
          </w:p>
        </w:tc>
        <w:tc>
          <w:tcPr>
            <w:tcW w:w="173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82.23</w:t>
            </w:r>
          </w:p>
        </w:tc>
        <w:tc>
          <w:tcPr>
            <w:tcW w:w="16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82.23</w:t>
            </w:r>
          </w:p>
        </w:tc>
        <w:tc>
          <w:tcPr>
            <w:tcW w:w="16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9"/>
          <w:wAfter w:w="6860" w:type="dxa"/>
          <w:trHeight w:val="419" w:hRule="atLeast"/>
        </w:trPr>
        <w:tc>
          <w:tcPr>
            <w:tcW w:w="2811" w:type="dxa"/>
            <w:gridSpan w:val="9"/>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6994" w:type="dxa"/>
            <w:gridSpan w:val="26"/>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173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98.50</w:t>
            </w:r>
          </w:p>
        </w:tc>
        <w:tc>
          <w:tcPr>
            <w:tcW w:w="16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4.89</w:t>
            </w:r>
          </w:p>
        </w:tc>
        <w:tc>
          <w:tcPr>
            <w:tcW w:w="16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9"/>
          <w:wAfter w:w="6860" w:type="dxa"/>
          <w:trHeight w:val="419" w:hRule="atLeast"/>
        </w:trPr>
        <w:tc>
          <w:tcPr>
            <w:tcW w:w="2811" w:type="dxa"/>
            <w:gridSpan w:val="9"/>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30201</w:t>
            </w:r>
          </w:p>
        </w:tc>
        <w:tc>
          <w:tcPr>
            <w:tcW w:w="6994" w:type="dxa"/>
            <w:gridSpan w:val="26"/>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办公费</w:t>
            </w:r>
          </w:p>
        </w:tc>
        <w:tc>
          <w:tcPr>
            <w:tcW w:w="173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16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6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9"/>
          <w:wAfter w:w="6860" w:type="dxa"/>
          <w:trHeight w:val="402" w:hRule="atLeast"/>
        </w:trPr>
        <w:tc>
          <w:tcPr>
            <w:tcW w:w="2811" w:type="dxa"/>
            <w:gridSpan w:val="9"/>
            <w:tcBorders>
              <w:top w:val="single" w:color="000000" w:sz="4" w:space="0"/>
              <w:left w:val="single" w:color="000000" w:sz="4" w:space="0"/>
              <w:bottom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30202</w:t>
            </w:r>
          </w:p>
        </w:tc>
        <w:tc>
          <w:tcPr>
            <w:tcW w:w="6994" w:type="dxa"/>
            <w:gridSpan w:val="26"/>
            <w:tcBorders>
              <w:top w:val="single" w:color="000000" w:sz="4" w:space="0"/>
              <w:left w:val="single" w:color="000000" w:sz="4" w:space="0"/>
              <w:bottom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印刷费</w:t>
            </w:r>
          </w:p>
        </w:tc>
        <w:tc>
          <w:tcPr>
            <w:tcW w:w="1736" w:type="dxa"/>
            <w:gridSpan w:val="7"/>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618" w:type="dxa"/>
            <w:gridSpan w:val="4"/>
            <w:tcBorders>
              <w:top w:val="single" w:color="000000" w:sz="4" w:space="0"/>
              <w:left w:val="single" w:color="000000" w:sz="4" w:space="0"/>
              <w:bottom w:val="single" w:color="auto"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652" w:type="dxa"/>
            <w:gridSpan w:val="4"/>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9"/>
          <w:wAfter w:w="6860" w:type="dxa"/>
          <w:trHeight w:val="436" w:hRule="atLeast"/>
        </w:trPr>
        <w:tc>
          <w:tcPr>
            <w:tcW w:w="2811"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30207</w:t>
            </w:r>
          </w:p>
        </w:tc>
        <w:tc>
          <w:tcPr>
            <w:tcW w:w="6994" w:type="dxa"/>
            <w:gridSpan w:val="2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邮电费</w:t>
            </w:r>
          </w:p>
        </w:tc>
        <w:tc>
          <w:tcPr>
            <w:tcW w:w="173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61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65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9"/>
          <w:wAfter w:w="6860" w:type="dxa"/>
          <w:trHeight w:val="436" w:hRule="atLeast"/>
        </w:trPr>
        <w:tc>
          <w:tcPr>
            <w:tcW w:w="2811" w:type="dxa"/>
            <w:gridSpan w:val="9"/>
            <w:tcBorders>
              <w:top w:val="single" w:color="auto" w:sz="4" w:space="0"/>
              <w:left w:val="nil"/>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6994" w:type="dxa"/>
            <w:gridSpan w:val="26"/>
            <w:tcBorders>
              <w:top w:val="single" w:color="auto" w:sz="4" w:space="0"/>
              <w:left w:val="nil"/>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1736" w:type="dxa"/>
            <w:gridSpan w:val="7"/>
            <w:tcBorders>
              <w:top w:val="single" w:color="auto" w:sz="4" w:space="0"/>
              <w:left w:val="nil"/>
              <w:bottom w:val="single" w:color="auto"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1618" w:type="dxa"/>
            <w:gridSpan w:val="4"/>
            <w:tcBorders>
              <w:top w:val="single" w:color="auto" w:sz="4" w:space="0"/>
              <w:left w:val="nil"/>
              <w:bottom w:val="single" w:color="auto" w:sz="4" w:space="0"/>
              <w:right w:val="nil"/>
            </w:tcBorders>
            <w:shd w:val="clear" w:color="auto" w:fill="auto"/>
            <w:vAlign w:val="center"/>
          </w:tcPr>
          <w:p>
            <w:pPr>
              <w:jc w:val="right"/>
              <w:rPr>
                <w:rFonts w:hint="eastAsia" w:ascii="宋体" w:hAnsi="宋体" w:eastAsia="宋体" w:cs="宋体"/>
                <w:i w:val="0"/>
                <w:color w:val="000000"/>
                <w:sz w:val="20"/>
                <w:szCs w:val="20"/>
                <w:u w:val="none"/>
              </w:rPr>
            </w:pPr>
          </w:p>
        </w:tc>
        <w:tc>
          <w:tcPr>
            <w:tcW w:w="1652" w:type="dxa"/>
            <w:gridSpan w:val="4"/>
            <w:tcBorders>
              <w:top w:val="single" w:color="auto" w:sz="4" w:space="0"/>
              <w:left w:val="nil"/>
              <w:bottom w:val="single" w:color="auto"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9"/>
          <w:wAfter w:w="6860" w:type="dxa"/>
          <w:trHeight w:val="419" w:hRule="atLeast"/>
        </w:trPr>
        <w:tc>
          <w:tcPr>
            <w:tcW w:w="2811"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30211</w:t>
            </w:r>
          </w:p>
        </w:tc>
        <w:tc>
          <w:tcPr>
            <w:tcW w:w="6994" w:type="dxa"/>
            <w:gridSpan w:val="2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差旅费</w:t>
            </w:r>
          </w:p>
        </w:tc>
        <w:tc>
          <w:tcPr>
            <w:tcW w:w="173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61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65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9"/>
          <w:wAfter w:w="6860" w:type="dxa"/>
          <w:trHeight w:val="402" w:hRule="atLeast"/>
        </w:trPr>
        <w:tc>
          <w:tcPr>
            <w:tcW w:w="2811"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30213</w:t>
            </w:r>
          </w:p>
        </w:tc>
        <w:tc>
          <w:tcPr>
            <w:tcW w:w="6994" w:type="dxa"/>
            <w:gridSpan w:val="2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维修(护)费</w:t>
            </w:r>
          </w:p>
        </w:tc>
        <w:tc>
          <w:tcPr>
            <w:tcW w:w="173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0.50</w:t>
            </w:r>
          </w:p>
        </w:tc>
        <w:tc>
          <w:tcPr>
            <w:tcW w:w="161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65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9"/>
          <w:wAfter w:w="6860" w:type="dxa"/>
          <w:trHeight w:val="403" w:hRule="atLeast"/>
        </w:trPr>
        <w:tc>
          <w:tcPr>
            <w:tcW w:w="2811" w:type="dxa"/>
            <w:gridSpan w:val="9"/>
            <w:tcBorders>
              <w:top w:val="single" w:color="auto"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30215</w:t>
            </w:r>
          </w:p>
        </w:tc>
        <w:tc>
          <w:tcPr>
            <w:tcW w:w="6994" w:type="dxa"/>
            <w:gridSpan w:val="26"/>
            <w:tcBorders>
              <w:top w:val="single" w:color="auto"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会议费</w:t>
            </w:r>
          </w:p>
        </w:tc>
        <w:tc>
          <w:tcPr>
            <w:tcW w:w="1736" w:type="dxa"/>
            <w:gridSpan w:val="7"/>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0.50</w:t>
            </w:r>
          </w:p>
        </w:tc>
        <w:tc>
          <w:tcPr>
            <w:tcW w:w="1618" w:type="dxa"/>
            <w:gridSpan w:val="4"/>
            <w:tcBorders>
              <w:top w:val="single" w:color="auto"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652" w:type="dxa"/>
            <w:gridSpan w:val="4"/>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9"/>
          <w:wAfter w:w="6860" w:type="dxa"/>
          <w:trHeight w:val="407" w:hRule="atLeast"/>
        </w:trPr>
        <w:tc>
          <w:tcPr>
            <w:tcW w:w="2811" w:type="dxa"/>
            <w:gridSpan w:val="9"/>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30216</w:t>
            </w:r>
          </w:p>
        </w:tc>
        <w:tc>
          <w:tcPr>
            <w:tcW w:w="6994" w:type="dxa"/>
            <w:gridSpan w:val="26"/>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培训费</w:t>
            </w:r>
          </w:p>
        </w:tc>
        <w:tc>
          <w:tcPr>
            <w:tcW w:w="173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6.35</w:t>
            </w:r>
          </w:p>
        </w:tc>
        <w:tc>
          <w:tcPr>
            <w:tcW w:w="16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6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9"/>
          <w:wAfter w:w="6860" w:type="dxa"/>
          <w:trHeight w:val="437" w:hRule="atLeast"/>
        </w:trPr>
        <w:tc>
          <w:tcPr>
            <w:tcW w:w="2811" w:type="dxa"/>
            <w:gridSpan w:val="9"/>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30217</w:t>
            </w:r>
          </w:p>
        </w:tc>
        <w:tc>
          <w:tcPr>
            <w:tcW w:w="6994" w:type="dxa"/>
            <w:gridSpan w:val="26"/>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公务接待费</w:t>
            </w:r>
          </w:p>
        </w:tc>
        <w:tc>
          <w:tcPr>
            <w:tcW w:w="173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0.50</w:t>
            </w:r>
          </w:p>
        </w:tc>
        <w:tc>
          <w:tcPr>
            <w:tcW w:w="16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6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9"/>
          <w:wAfter w:w="6860" w:type="dxa"/>
          <w:trHeight w:val="406" w:hRule="atLeast"/>
        </w:trPr>
        <w:tc>
          <w:tcPr>
            <w:tcW w:w="2811" w:type="dxa"/>
            <w:gridSpan w:val="9"/>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30226</w:t>
            </w:r>
          </w:p>
        </w:tc>
        <w:tc>
          <w:tcPr>
            <w:tcW w:w="6994" w:type="dxa"/>
            <w:gridSpan w:val="26"/>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劳务费</w:t>
            </w:r>
          </w:p>
        </w:tc>
        <w:tc>
          <w:tcPr>
            <w:tcW w:w="173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8.89</w:t>
            </w:r>
          </w:p>
        </w:tc>
        <w:tc>
          <w:tcPr>
            <w:tcW w:w="16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4.89</w:t>
            </w:r>
          </w:p>
        </w:tc>
        <w:tc>
          <w:tcPr>
            <w:tcW w:w="16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9"/>
          <w:wAfter w:w="6860" w:type="dxa"/>
          <w:trHeight w:val="453" w:hRule="atLeast"/>
        </w:trPr>
        <w:tc>
          <w:tcPr>
            <w:tcW w:w="2811" w:type="dxa"/>
            <w:gridSpan w:val="9"/>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30228</w:t>
            </w:r>
          </w:p>
        </w:tc>
        <w:tc>
          <w:tcPr>
            <w:tcW w:w="6994" w:type="dxa"/>
            <w:gridSpan w:val="26"/>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工会经费</w:t>
            </w:r>
          </w:p>
        </w:tc>
        <w:tc>
          <w:tcPr>
            <w:tcW w:w="173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9.07</w:t>
            </w:r>
          </w:p>
        </w:tc>
        <w:tc>
          <w:tcPr>
            <w:tcW w:w="16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6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9"/>
          <w:wAfter w:w="6860" w:type="dxa"/>
          <w:trHeight w:val="453" w:hRule="atLeast"/>
        </w:trPr>
        <w:tc>
          <w:tcPr>
            <w:tcW w:w="2811" w:type="dxa"/>
            <w:gridSpan w:val="9"/>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30229</w:t>
            </w:r>
          </w:p>
        </w:tc>
        <w:tc>
          <w:tcPr>
            <w:tcW w:w="6994" w:type="dxa"/>
            <w:gridSpan w:val="26"/>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福利费</w:t>
            </w:r>
          </w:p>
        </w:tc>
        <w:tc>
          <w:tcPr>
            <w:tcW w:w="173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30.88</w:t>
            </w:r>
          </w:p>
        </w:tc>
        <w:tc>
          <w:tcPr>
            <w:tcW w:w="16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6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9"/>
          <w:wAfter w:w="6860" w:type="dxa"/>
          <w:trHeight w:val="437" w:hRule="atLeast"/>
        </w:trPr>
        <w:tc>
          <w:tcPr>
            <w:tcW w:w="2811" w:type="dxa"/>
            <w:gridSpan w:val="9"/>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30239</w:t>
            </w:r>
          </w:p>
        </w:tc>
        <w:tc>
          <w:tcPr>
            <w:tcW w:w="6994" w:type="dxa"/>
            <w:gridSpan w:val="26"/>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其他交通费用</w:t>
            </w:r>
          </w:p>
        </w:tc>
        <w:tc>
          <w:tcPr>
            <w:tcW w:w="173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23.86</w:t>
            </w:r>
          </w:p>
        </w:tc>
        <w:tc>
          <w:tcPr>
            <w:tcW w:w="16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6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9"/>
          <w:wAfter w:w="6860" w:type="dxa"/>
          <w:trHeight w:val="436" w:hRule="atLeast"/>
        </w:trPr>
        <w:tc>
          <w:tcPr>
            <w:tcW w:w="2811" w:type="dxa"/>
            <w:gridSpan w:val="9"/>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30299</w:t>
            </w:r>
          </w:p>
        </w:tc>
        <w:tc>
          <w:tcPr>
            <w:tcW w:w="6994" w:type="dxa"/>
            <w:gridSpan w:val="26"/>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其他商品和服务支出</w:t>
            </w:r>
          </w:p>
        </w:tc>
        <w:tc>
          <w:tcPr>
            <w:tcW w:w="173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12.96</w:t>
            </w:r>
          </w:p>
        </w:tc>
        <w:tc>
          <w:tcPr>
            <w:tcW w:w="16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6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9"/>
          <w:wAfter w:w="6860" w:type="dxa"/>
          <w:trHeight w:val="453" w:hRule="atLeast"/>
        </w:trPr>
        <w:tc>
          <w:tcPr>
            <w:tcW w:w="2811" w:type="dxa"/>
            <w:gridSpan w:val="9"/>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6994" w:type="dxa"/>
            <w:gridSpan w:val="26"/>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173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6.05</w:t>
            </w:r>
          </w:p>
        </w:tc>
        <w:tc>
          <w:tcPr>
            <w:tcW w:w="16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5.05</w:t>
            </w:r>
          </w:p>
        </w:tc>
        <w:tc>
          <w:tcPr>
            <w:tcW w:w="16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9"/>
          <w:wAfter w:w="6860" w:type="dxa"/>
          <w:trHeight w:val="470" w:hRule="atLeast"/>
        </w:trPr>
        <w:tc>
          <w:tcPr>
            <w:tcW w:w="2811" w:type="dxa"/>
            <w:gridSpan w:val="9"/>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30302</w:t>
            </w:r>
          </w:p>
        </w:tc>
        <w:tc>
          <w:tcPr>
            <w:tcW w:w="6994" w:type="dxa"/>
            <w:gridSpan w:val="26"/>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退休费</w:t>
            </w:r>
          </w:p>
        </w:tc>
        <w:tc>
          <w:tcPr>
            <w:tcW w:w="173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0.37</w:t>
            </w:r>
          </w:p>
        </w:tc>
        <w:tc>
          <w:tcPr>
            <w:tcW w:w="16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0.37</w:t>
            </w:r>
          </w:p>
        </w:tc>
        <w:tc>
          <w:tcPr>
            <w:tcW w:w="16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9"/>
          <w:wAfter w:w="6860" w:type="dxa"/>
          <w:trHeight w:val="486" w:hRule="atLeast"/>
        </w:trPr>
        <w:tc>
          <w:tcPr>
            <w:tcW w:w="2811" w:type="dxa"/>
            <w:gridSpan w:val="9"/>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30305</w:t>
            </w:r>
          </w:p>
        </w:tc>
        <w:tc>
          <w:tcPr>
            <w:tcW w:w="6994" w:type="dxa"/>
            <w:gridSpan w:val="26"/>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生活补助</w:t>
            </w:r>
          </w:p>
        </w:tc>
        <w:tc>
          <w:tcPr>
            <w:tcW w:w="173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16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16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9"/>
          <w:wAfter w:w="6860" w:type="dxa"/>
          <w:trHeight w:val="480" w:hRule="atLeast"/>
        </w:trPr>
        <w:tc>
          <w:tcPr>
            <w:tcW w:w="2811" w:type="dxa"/>
            <w:gridSpan w:val="9"/>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30399</w:t>
            </w:r>
          </w:p>
        </w:tc>
        <w:tc>
          <w:tcPr>
            <w:tcW w:w="6994" w:type="dxa"/>
            <w:gridSpan w:val="26"/>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其他对个人和家庭的补助</w:t>
            </w:r>
          </w:p>
        </w:tc>
        <w:tc>
          <w:tcPr>
            <w:tcW w:w="173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3.88</w:t>
            </w:r>
          </w:p>
        </w:tc>
        <w:tc>
          <w:tcPr>
            <w:tcW w:w="16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2.88</w:t>
            </w:r>
          </w:p>
        </w:tc>
        <w:tc>
          <w:tcPr>
            <w:tcW w:w="16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bl>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rPr>
      </w:pP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rPr>
      </w:pP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rPr>
      </w:pP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rPr>
      </w:pP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rPr>
      </w:pP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rPr>
      </w:pP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rPr>
      </w:pPr>
    </w:p>
    <w:tbl>
      <w:tblPr>
        <w:tblStyle w:val="10"/>
        <w:tblW w:w="181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79"/>
        <w:gridCol w:w="870"/>
        <w:gridCol w:w="779"/>
        <w:gridCol w:w="801"/>
        <w:gridCol w:w="716"/>
        <w:gridCol w:w="572"/>
        <w:gridCol w:w="229"/>
        <w:gridCol w:w="1777"/>
        <w:gridCol w:w="90"/>
        <w:gridCol w:w="716"/>
        <w:gridCol w:w="1149"/>
        <w:gridCol w:w="1888"/>
        <w:gridCol w:w="2073"/>
        <w:gridCol w:w="1972"/>
        <w:gridCol w:w="1176"/>
        <w:gridCol w:w="22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2"/>
          <w:wAfter w:w="3384" w:type="dxa"/>
          <w:trHeight w:val="390" w:hRule="atLeast"/>
        </w:trPr>
        <w:tc>
          <w:tcPr>
            <w:tcW w:w="1179" w:type="dxa"/>
            <w:shd w:val="clear" w:color="auto" w:fill="auto"/>
            <w:vAlign w:val="bottom"/>
          </w:tcPr>
          <w:p>
            <w:pPr>
              <w:rPr>
                <w:rFonts w:hint="eastAsia" w:ascii="Arial" w:hAnsi="Arial" w:cs="Arial"/>
                <w:i w:val="0"/>
                <w:color w:val="000000"/>
                <w:sz w:val="20"/>
                <w:szCs w:val="20"/>
                <w:u w:val="none"/>
              </w:rPr>
            </w:pPr>
          </w:p>
        </w:tc>
        <w:tc>
          <w:tcPr>
            <w:tcW w:w="870" w:type="dxa"/>
            <w:shd w:val="clear" w:color="auto" w:fill="auto"/>
            <w:vAlign w:val="bottom"/>
          </w:tcPr>
          <w:p>
            <w:pPr>
              <w:rPr>
                <w:rFonts w:hint="default" w:ascii="Arial" w:hAnsi="Arial" w:cs="Arial"/>
                <w:i w:val="0"/>
                <w:color w:val="000000"/>
                <w:sz w:val="20"/>
                <w:szCs w:val="20"/>
                <w:u w:val="none"/>
              </w:rPr>
            </w:pPr>
          </w:p>
        </w:tc>
        <w:tc>
          <w:tcPr>
            <w:tcW w:w="779" w:type="dxa"/>
            <w:shd w:val="clear" w:color="auto" w:fill="auto"/>
            <w:vAlign w:val="bottom"/>
          </w:tcPr>
          <w:p>
            <w:pPr>
              <w:rPr>
                <w:rFonts w:hint="default" w:ascii="Arial" w:hAnsi="Arial" w:cs="Arial"/>
                <w:i w:val="0"/>
                <w:color w:val="000000"/>
                <w:sz w:val="20"/>
                <w:szCs w:val="20"/>
                <w:u w:val="none"/>
              </w:rPr>
            </w:pPr>
          </w:p>
        </w:tc>
        <w:tc>
          <w:tcPr>
            <w:tcW w:w="801" w:type="dxa"/>
            <w:shd w:val="clear" w:color="auto" w:fill="auto"/>
            <w:vAlign w:val="bottom"/>
          </w:tcPr>
          <w:p>
            <w:pPr>
              <w:rPr>
                <w:rFonts w:hint="default" w:ascii="Arial" w:hAnsi="Arial" w:cs="Arial"/>
                <w:i w:val="0"/>
                <w:color w:val="000000"/>
                <w:sz w:val="20"/>
                <w:szCs w:val="20"/>
                <w:u w:val="none"/>
              </w:rPr>
            </w:pPr>
          </w:p>
        </w:tc>
        <w:tc>
          <w:tcPr>
            <w:tcW w:w="716" w:type="dxa"/>
            <w:shd w:val="clear" w:color="auto" w:fill="auto"/>
            <w:vAlign w:val="bottom"/>
          </w:tcPr>
          <w:p>
            <w:pPr>
              <w:rPr>
                <w:rFonts w:hint="default" w:ascii="Arial" w:hAnsi="Arial" w:cs="Arial"/>
                <w:i w:val="0"/>
                <w:color w:val="000000"/>
                <w:sz w:val="20"/>
                <w:szCs w:val="20"/>
                <w:u w:val="none"/>
              </w:rPr>
            </w:pPr>
          </w:p>
        </w:tc>
        <w:tc>
          <w:tcPr>
            <w:tcW w:w="801" w:type="dxa"/>
            <w:gridSpan w:val="2"/>
            <w:shd w:val="clear" w:color="auto" w:fill="auto"/>
            <w:vAlign w:val="bottom"/>
          </w:tcPr>
          <w:p>
            <w:pPr>
              <w:rPr>
                <w:rFonts w:hint="default" w:ascii="Arial" w:hAnsi="Arial" w:cs="Arial"/>
                <w:i w:val="0"/>
                <w:color w:val="000000"/>
                <w:sz w:val="20"/>
                <w:szCs w:val="20"/>
                <w:u w:val="none"/>
              </w:rPr>
            </w:pPr>
          </w:p>
        </w:tc>
        <w:tc>
          <w:tcPr>
            <w:tcW w:w="9665" w:type="dxa"/>
            <w:gridSpan w:val="7"/>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2"/>
          <w:wAfter w:w="3384" w:type="dxa"/>
          <w:trHeight w:val="690" w:hRule="atLeast"/>
        </w:trPr>
        <w:tc>
          <w:tcPr>
            <w:tcW w:w="14811" w:type="dxa"/>
            <w:gridSpan w:val="14"/>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2022年部门一般公共预算"三公"经费支出表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2828" w:type="dxa"/>
            <w:gridSpan w:val="3"/>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306-金华市投资促进中心</w:t>
            </w:r>
          </w:p>
        </w:tc>
        <w:tc>
          <w:tcPr>
            <w:tcW w:w="2089" w:type="dxa"/>
            <w:gridSpan w:val="3"/>
            <w:shd w:val="clear" w:color="auto" w:fill="auto"/>
            <w:vAlign w:val="center"/>
          </w:tcPr>
          <w:p>
            <w:pPr>
              <w:jc w:val="center"/>
              <w:rPr>
                <w:rFonts w:hint="eastAsia" w:ascii="宋体" w:hAnsi="宋体" w:eastAsia="宋体" w:cs="宋体"/>
                <w:b/>
                <w:i w:val="0"/>
                <w:color w:val="000000"/>
                <w:sz w:val="20"/>
                <w:szCs w:val="20"/>
                <w:u w:val="none"/>
              </w:rPr>
            </w:pPr>
          </w:p>
        </w:tc>
        <w:tc>
          <w:tcPr>
            <w:tcW w:w="2006" w:type="dxa"/>
            <w:gridSpan w:val="2"/>
            <w:shd w:val="clear" w:color="auto" w:fill="auto"/>
            <w:vAlign w:val="center"/>
          </w:tcPr>
          <w:p>
            <w:pPr>
              <w:jc w:val="center"/>
              <w:rPr>
                <w:rFonts w:hint="eastAsia" w:ascii="宋体" w:hAnsi="宋体" w:eastAsia="宋体" w:cs="宋体"/>
                <w:b/>
                <w:i w:val="0"/>
                <w:color w:val="000000"/>
                <w:sz w:val="20"/>
                <w:szCs w:val="20"/>
                <w:u w:val="none"/>
              </w:rPr>
            </w:pPr>
          </w:p>
        </w:tc>
        <w:tc>
          <w:tcPr>
            <w:tcW w:w="90" w:type="dxa"/>
            <w:shd w:val="clear" w:color="auto" w:fill="auto"/>
            <w:vAlign w:val="center"/>
          </w:tcPr>
          <w:p>
            <w:pPr>
              <w:jc w:val="center"/>
              <w:rPr>
                <w:rFonts w:hint="eastAsia" w:ascii="宋体" w:hAnsi="宋体" w:eastAsia="宋体" w:cs="宋体"/>
                <w:b/>
                <w:i w:val="0"/>
                <w:color w:val="000000"/>
                <w:sz w:val="20"/>
                <w:szCs w:val="20"/>
                <w:u w:val="none"/>
              </w:rPr>
            </w:pPr>
          </w:p>
        </w:tc>
        <w:tc>
          <w:tcPr>
            <w:tcW w:w="716" w:type="dxa"/>
            <w:shd w:val="clear" w:color="auto" w:fill="auto"/>
            <w:vAlign w:val="center"/>
          </w:tcPr>
          <w:p>
            <w:pPr>
              <w:jc w:val="center"/>
              <w:rPr>
                <w:rFonts w:hint="eastAsia" w:ascii="宋体" w:hAnsi="宋体" w:eastAsia="宋体" w:cs="宋体"/>
                <w:b/>
                <w:i w:val="0"/>
                <w:color w:val="000000"/>
                <w:sz w:val="20"/>
                <w:szCs w:val="20"/>
                <w:u w:val="none"/>
              </w:rPr>
            </w:pPr>
          </w:p>
        </w:tc>
        <w:tc>
          <w:tcPr>
            <w:tcW w:w="8258" w:type="dxa"/>
            <w:gridSpan w:val="5"/>
            <w:shd w:val="clear" w:color="auto" w:fill="auto"/>
            <w:vAlign w:val="bottom"/>
          </w:tcPr>
          <w:p>
            <w:pPr>
              <w:rPr>
                <w:rFonts w:hint="eastAsia" w:ascii="宋体" w:hAnsi="宋体" w:eastAsia="宋体" w:cs="宋体"/>
                <w:i w:val="0"/>
                <w:color w:val="000000"/>
                <w:sz w:val="20"/>
                <w:szCs w:val="20"/>
                <w:u w:val="none"/>
              </w:rPr>
            </w:pPr>
          </w:p>
        </w:tc>
        <w:tc>
          <w:tcPr>
            <w:tcW w:w="2208"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2"/>
          <w:wAfter w:w="3384" w:type="dxa"/>
          <w:trHeight w:val="940" w:hRule="atLeast"/>
        </w:trPr>
        <w:tc>
          <w:tcPr>
            <w:tcW w:w="282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单位名称</w:t>
            </w:r>
          </w:p>
        </w:tc>
        <w:tc>
          <w:tcPr>
            <w:tcW w:w="208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“三公”经费合计</w:t>
            </w:r>
          </w:p>
        </w:tc>
        <w:tc>
          <w:tcPr>
            <w:tcW w:w="20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因公出国(境)费用</w:t>
            </w:r>
          </w:p>
        </w:tc>
        <w:tc>
          <w:tcPr>
            <w:tcW w:w="59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2"/>
          <w:wAfter w:w="3384" w:type="dxa"/>
          <w:trHeight w:val="805" w:hRule="atLeast"/>
        </w:trPr>
        <w:tc>
          <w:tcPr>
            <w:tcW w:w="282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8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公务用车运行维护费</w:t>
            </w:r>
          </w:p>
        </w:tc>
        <w:tc>
          <w:tcPr>
            <w:tcW w:w="1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2"/>
          <w:wAfter w:w="3384" w:type="dxa"/>
          <w:trHeight w:val="733" w:hRule="atLeast"/>
        </w:trPr>
        <w:tc>
          <w:tcPr>
            <w:tcW w:w="28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0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9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2"/>
          <w:wAfter w:w="3384" w:type="dxa"/>
          <w:trHeight w:val="700" w:hRule="atLeast"/>
        </w:trPr>
        <w:tc>
          <w:tcPr>
            <w:tcW w:w="28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0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7.50</w:t>
            </w:r>
          </w:p>
        </w:tc>
        <w:tc>
          <w:tcPr>
            <w:tcW w:w="2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9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2"/>
          <w:wAfter w:w="3384" w:type="dxa"/>
          <w:trHeight w:val="824" w:hRule="atLeast"/>
        </w:trPr>
        <w:tc>
          <w:tcPr>
            <w:tcW w:w="28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金华市投资促进中心</w:t>
            </w:r>
          </w:p>
        </w:tc>
        <w:tc>
          <w:tcPr>
            <w:tcW w:w="20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7.50</w:t>
            </w:r>
          </w:p>
        </w:tc>
        <w:tc>
          <w:tcPr>
            <w:tcW w:w="2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9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7.50</w:t>
            </w:r>
          </w:p>
        </w:tc>
      </w:tr>
    </w:tbl>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rPr>
      </w:pP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rPr>
      </w:pP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rPr>
      </w:pP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rPr>
      </w:pP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rPr>
      </w:pP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rPr>
      </w:pP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rPr>
      </w:pP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rPr>
      </w:pPr>
    </w:p>
    <w:tbl>
      <w:tblPr>
        <w:tblStyle w:val="10"/>
        <w:tblW w:w="190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09"/>
        <w:gridCol w:w="930"/>
        <w:gridCol w:w="1095"/>
        <w:gridCol w:w="297"/>
        <w:gridCol w:w="663"/>
        <w:gridCol w:w="3146"/>
        <w:gridCol w:w="90"/>
        <w:gridCol w:w="960"/>
        <w:gridCol w:w="1495"/>
        <w:gridCol w:w="2444"/>
        <w:gridCol w:w="2882"/>
        <w:gridCol w:w="4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4196" w:type="dxa"/>
          <w:trHeight w:val="285" w:hRule="atLeast"/>
        </w:trPr>
        <w:tc>
          <w:tcPr>
            <w:tcW w:w="809" w:type="dxa"/>
            <w:shd w:val="clear" w:color="auto" w:fill="auto"/>
            <w:vAlign w:val="center"/>
          </w:tcPr>
          <w:p>
            <w:pPr>
              <w:jc w:val="center"/>
              <w:rPr>
                <w:rFonts w:hint="eastAsia" w:ascii="方正小标宋简体" w:hAnsi="方正小标宋简体" w:eastAsia="方正小标宋简体" w:cs="方正小标宋简体"/>
                <w:i w:val="0"/>
                <w:color w:val="000000"/>
                <w:sz w:val="20"/>
                <w:szCs w:val="20"/>
                <w:u w:val="none"/>
              </w:rPr>
            </w:pPr>
          </w:p>
        </w:tc>
        <w:tc>
          <w:tcPr>
            <w:tcW w:w="930" w:type="dxa"/>
            <w:shd w:val="clear" w:color="auto" w:fill="auto"/>
            <w:vAlign w:val="center"/>
          </w:tcPr>
          <w:p>
            <w:pPr>
              <w:jc w:val="center"/>
              <w:rPr>
                <w:rFonts w:hint="eastAsia" w:ascii="宋体" w:hAnsi="宋体" w:eastAsia="宋体" w:cs="宋体"/>
                <w:i w:val="0"/>
                <w:color w:val="000000"/>
                <w:sz w:val="20"/>
                <w:szCs w:val="20"/>
                <w:u w:val="none"/>
              </w:rPr>
            </w:pPr>
          </w:p>
        </w:tc>
        <w:tc>
          <w:tcPr>
            <w:tcW w:w="1095" w:type="dxa"/>
            <w:shd w:val="clear" w:color="auto" w:fill="auto"/>
            <w:vAlign w:val="center"/>
          </w:tcPr>
          <w:p>
            <w:pPr>
              <w:rPr>
                <w:rFonts w:hint="eastAsia" w:ascii="宋体" w:hAnsi="宋体" w:eastAsia="宋体" w:cs="宋体"/>
                <w:i w:val="0"/>
                <w:color w:val="000000"/>
                <w:sz w:val="20"/>
                <w:szCs w:val="20"/>
                <w:u w:val="none"/>
              </w:rPr>
            </w:pPr>
          </w:p>
        </w:tc>
        <w:tc>
          <w:tcPr>
            <w:tcW w:w="960" w:type="dxa"/>
            <w:gridSpan w:val="2"/>
            <w:shd w:val="clear" w:color="auto" w:fill="auto"/>
            <w:vAlign w:val="center"/>
          </w:tcPr>
          <w:p>
            <w:pPr>
              <w:rPr>
                <w:rFonts w:hint="eastAsia" w:ascii="宋体" w:hAnsi="宋体" w:eastAsia="宋体" w:cs="宋体"/>
                <w:i w:val="0"/>
                <w:color w:val="000000"/>
                <w:sz w:val="20"/>
                <w:szCs w:val="20"/>
                <w:u w:val="none"/>
              </w:rPr>
            </w:pPr>
          </w:p>
        </w:tc>
        <w:tc>
          <w:tcPr>
            <w:tcW w:w="11017" w:type="dxa"/>
            <w:gridSpan w:val="6"/>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4196" w:type="dxa"/>
          <w:trHeight w:val="615" w:hRule="atLeast"/>
        </w:trPr>
        <w:tc>
          <w:tcPr>
            <w:tcW w:w="14811" w:type="dxa"/>
            <w:gridSpan w:val="11"/>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2022年部门政府性基金预算支出表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88" w:hRule="atLeast"/>
        </w:trPr>
        <w:tc>
          <w:tcPr>
            <w:tcW w:w="3131" w:type="dxa"/>
            <w:gridSpan w:val="4"/>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306-金华市投资促进中心</w:t>
            </w:r>
          </w:p>
        </w:tc>
        <w:tc>
          <w:tcPr>
            <w:tcW w:w="3809" w:type="dxa"/>
            <w:gridSpan w:val="2"/>
            <w:shd w:val="clear" w:color="auto" w:fill="auto"/>
            <w:vAlign w:val="center"/>
          </w:tcPr>
          <w:p>
            <w:pPr>
              <w:jc w:val="left"/>
              <w:rPr>
                <w:rFonts w:hint="eastAsia" w:ascii="宋体" w:hAnsi="宋体" w:eastAsia="宋体" w:cs="宋体"/>
                <w:i w:val="0"/>
                <w:color w:val="000000"/>
                <w:sz w:val="20"/>
                <w:szCs w:val="20"/>
                <w:u w:val="none"/>
              </w:rPr>
            </w:pPr>
          </w:p>
        </w:tc>
        <w:tc>
          <w:tcPr>
            <w:tcW w:w="90" w:type="dxa"/>
            <w:shd w:val="clear" w:color="auto" w:fill="auto"/>
            <w:vAlign w:val="center"/>
          </w:tcPr>
          <w:p>
            <w:pPr>
              <w:rPr>
                <w:rFonts w:hint="eastAsia" w:ascii="宋体" w:hAnsi="宋体" w:eastAsia="宋体" w:cs="宋体"/>
                <w:i w:val="0"/>
                <w:color w:val="000000"/>
                <w:sz w:val="20"/>
                <w:szCs w:val="20"/>
                <w:u w:val="none"/>
              </w:rPr>
            </w:pPr>
          </w:p>
        </w:tc>
        <w:tc>
          <w:tcPr>
            <w:tcW w:w="960" w:type="dxa"/>
            <w:shd w:val="clear" w:color="auto" w:fill="auto"/>
            <w:vAlign w:val="center"/>
          </w:tcPr>
          <w:p>
            <w:pPr>
              <w:rPr>
                <w:rFonts w:hint="eastAsia" w:ascii="宋体" w:hAnsi="宋体" w:eastAsia="宋体" w:cs="宋体"/>
                <w:i w:val="0"/>
                <w:color w:val="000000"/>
                <w:sz w:val="20"/>
                <w:szCs w:val="20"/>
                <w:u w:val="none"/>
              </w:rPr>
            </w:pPr>
          </w:p>
        </w:tc>
        <w:tc>
          <w:tcPr>
            <w:tcW w:w="11017" w:type="dxa"/>
            <w:gridSpan w:val="4"/>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4196" w:type="dxa"/>
          <w:trHeight w:val="621" w:hRule="atLeast"/>
        </w:trPr>
        <w:tc>
          <w:tcPr>
            <w:tcW w:w="3131"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380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787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4196" w:type="dxa"/>
          <w:trHeight w:val="600" w:hRule="atLeast"/>
        </w:trPr>
        <w:tc>
          <w:tcPr>
            <w:tcW w:w="3131"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8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  计</w:t>
            </w:r>
          </w:p>
        </w:tc>
        <w:tc>
          <w:tcPr>
            <w:tcW w:w="2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2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4196" w:type="dxa"/>
          <w:trHeight w:val="791" w:hRule="atLeast"/>
        </w:trPr>
        <w:tc>
          <w:tcPr>
            <w:tcW w:w="3131" w:type="dxa"/>
            <w:gridSpan w:val="4"/>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3809"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4196" w:type="dxa"/>
          <w:trHeight w:val="774" w:hRule="atLeast"/>
        </w:trPr>
        <w:tc>
          <w:tcPr>
            <w:tcW w:w="3131" w:type="dxa"/>
            <w:gridSpan w:val="4"/>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3809"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545" w:type="dxa"/>
            <w:gridSpan w:val="3"/>
            <w:tcBorders>
              <w:top w:val="single" w:color="000000" w:sz="4" w:space="0"/>
              <w:left w:val="single" w:color="000000" w:sz="4" w:space="0"/>
              <w:bottom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444" w:type="dxa"/>
            <w:tcBorders>
              <w:top w:val="single" w:color="000000" w:sz="4" w:space="0"/>
              <w:left w:val="single" w:color="000000" w:sz="4" w:space="0"/>
              <w:bottom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8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bl>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rPr>
      </w:pP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金华市投资促进中心2022年没有政府性基金预算拨款安排的支出，故本表无数据</w:t>
      </w: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rPr>
      </w:pP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rPr>
      </w:pP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rPr>
      </w:pP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rPr>
      </w:pP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rPr>
      </w:pP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rPr>
      </w:pP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rPr>
      </w:pPr>
    </w:p>
    <w:tbl>
      <w:tblPr>
        <w:tblStyle w:val="10"/>
        <w:tblW w:w="148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80"/>
        <w:gridCol w:w="2088"/>
        <w:gridCol w:w="702"/>
        <w:gridCol w:w="5837"/>
        <w:gridCol w:w="48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380" w:type="dxa"/>
            <w:shd w:val="clear" w:color="auto" w:fill="auto"/>
            <w:vAlign w:val="bottom"/>
          </w:tcPr>
          <w:p>
            <w:pPr>
              <w:rPr>
                <w:rFonts w:hint="eastAsia" w:ascii="宋体" w:hAnsi="宋体" w:eastAsia="宋体" w:cs="宋体"/>
                <w:i w:val="0"/>
                <w:color w:val="000000"/>
                <w:sz w:val="22"/>
                <w:szCs w:val="22"/>
                <w:u w:val="none"/>
              </w:rPr>
            </w:pPr>
          </w:p>
        </w:tc>
        <w:tc>
          <w:tcPr>
            <w:tcW w:w="2790" w:type="dxa"/>
            <w:gridSpan w:val="2"/>
            <w:shd w:val="clear" w:color="auto" w:fill="auto"/>
            <w:vAlign w:val="bottom"/>
          </w:tcPr>
          <w:p>
            <w:pPr>
              <w:rPr>
                <w:rFonts w:hint="eastAsia" w:ascii="宋体" w:hAnsi="宋体" w:eastAsia="宋体" w:cs="宋体"/>
                <w:i w:val="0"/>
                <w:color w:val="000000"/>
                <w:sz w:val="22"/>
                <w:szCs w:val="22"/>
                <w:u w:val="none"/>
              </w:rPr>
            </w:pPr>
          </w:p>
        </w:tc>
        <w:tc>
          <w:tcPr>
            <w:tcW w:w="10658" w:type="dxa"/>
            <w:gridSpan w:val="2"/>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4828" w:type="dxa"/>
            <w:gridSpan w:val="5"/>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2022年部门国有资本经营预算支出表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89" w:hRule="atLeast"/>
        </w:trPr>
        <w:tc>
          <w:tcPr>
            <w:tcW w:w="3468" w:type="dxa"/>
            <w:gridSpan w:val="2"/>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306-金华市投资促进中心</w:t>
            </w:r>
          </w:p>
        </w:tc>
        <w:tc>
          <w:tcPr>
            <w:tcW w:w="6539" w:type="dxa"/>
            <w:gridSpan w:val="2"/>
            <w:tcBorders>
              <w:bottom w:val="single" w:color="000000" w:sz="4" w:space="0"/>
            </w:tcBorders>
            <w:shd w:val="clear" w:color="auto" w:fill="auto"/>
            <w:vAlign w:val="bottom"/>
          </w:tcPr>
          <w:p>
            <w:pPr>
              <w:rPr>
                <w:rFonts w:hint="eastAsia" w:ascii="宋体" w:hAnsi="宋体" w:eastAsia="宋体" w:cs="宋体"/>
                <w:i w:val="0"/>
                <w:color w:val="000000"/>
                <w:sz w:val="20"/>
                <w:szCs w:val="20"/>
                <w:u w:val="none"/>
              </w:rPr>
            </w:pPr>
          </w:p>
        </w:tc>
        <w:tc>
          <w:tcPr>
            <w:tcW w:w="4821"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34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653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48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34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5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8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2" w:hRule="atLeast"/>
        </w:trPr>
        <w:tc>
          <w:tcPr>
            <w:tcW w:w="34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5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10" w:hRule="atLeast"/>
        </w:trPr>
        <w:tc>
          <w:tcPr>
            <w:tcW w:w="34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65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bl>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rPr>
      </w:pP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金华市投资促进中心2022年没有国有资本经营预算安排的支出，故本表无数据</w:t>
      </w: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rPr>
      </w:pP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rPr>
      </w:pP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rPr>
      </w:pP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rPr>
      </w:pP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rPr>
      </w:pP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rPr>
      </w:pP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rPr>
      </w:pP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w:t>
      </w: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lang w:val="en-US" w:eastAsia="zh-CN"/>
        </w:rPr>
      </w:pP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lang w:val="en-US" w:eastAsia="zh-CN"/>
        </w:rPr>
      </w:pPr>
    </w:p>
    <w:tbl>
      <w:tblPr>
        <w:tblStyle w:val="10"/>
        <w:tblW w:w="147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17"/>
        <w:gridCol w:w="944"/>
        <w:gridCol w:w="176"/>
        <w:gridCol w:w="586"/>
        <w:gridCol w:w="674"/>
        <w:gridCol w:w="606"/>
        <w:gridCol w:w="358"/>
        <w:gridCol w:w="233"/>
        <w:gridCol w:w="606"/>
        <w:gridCol w:w="712"/>
        <w:gridCol w:w="1837"/>
        <w:gridCol w:w="1668"/>
        <w:gridCol w:w="1871"/>
        <w:gridCol w:w="1922"/>
        <w:gridCol w:w="1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017" w:type="dxa"/>
            <w:shd w:val="clear" w:color="auto" w:fill="auto"/>
            <w:vAlign w:val="bottom"/>
          </w:tcPr>
          <w:p>
            <w:pPr>
              <w:rPr>
                <w:rFonts w:hint="eastAsia" w:ascii="宋体" w:hAnsi="宋体" w:eastAsia="宋体" w:cs="宋体"/>
                <w:i w:val="0"/>
                <w:color w:val="000000"/>
                <w:sz w:val="18"/>
                <w:szCs w:val="18"/>
                <w:u w:val="none"/>
              </w:rPr>
            </w:pPr>
          </w:p>
        </w:tc>
        <w:tc>
          <w:tcPr>
            <w:tcW w:w="944" w:type="dxa"/>
            <w:shd w:val="clear" w:color="auto" w:fill="auto"/>
            <w:vAlign w:val="bottom"/>
          </w:tcPr>
          <w:p>
            <w:pPr>
              <w:rPr>
                <w:rFonts w:hint="eastAsia" w:ascii="宋体" w:hAnsi="宋体" w:eastAsia="宋体" w:cs="宋体"/>
                <w:i w:val="0"/>
                <w:color w:val="000000"/>
                <w:sz w:val="18"/>
                <w:szCs w:val="18"/>
                <w:u w:val="none"/>
              </w:rPr>
            </w:pPr>
          </w:p>
        </w:tc>
        <w:tc>
          <w:tcPr>
            <w:tcW w:w="762" w:type="dxa"/>
            <w:gridSpan w:val="2"/>
            <w:shd w:val="clear" w:color="auto" w:fill="auto"/>
            <w:vAlign w:val="bottom"/>
          </w:tcPr>
          <w:p>
            <w:pPr>
              <w:rPr>
                <w:rFonts w:hint="eastAsia" w:ascii="宋体" w:hAnsi="宋体" w:eastAsia="宋体" w:cs="宋体"/>
                <w:i w:val="0"/>
                <w:color w:val="000000"/>
                <w:sz w:val="18"/>
                <w:szCs w:val="18"/>
                <w:u w:val="none"/>
              </w:rPr>
            </w:pPr>
          </w:p>
        </w:tc>
        <w:tc>
          <w:tcPr>
            <w:tcW w:w="674" w:type="dxa"/>
            <w:shd w:val="clear" w:color="auto" w:fill="auto"/>
            <w:vAlign w:val="bottom"/>
          </w:tcPr>
          <w:p>
            <w:pPr>
              <w:rPr>
                <w:rFonts w:hint="eastAsia" w:ascii="宋体" w:hAnsi="宋体" w:eastAsia="宋体" w:cs="宋体"/>
                <w:i w:val="0"/>
                <w:color w:val="000000"/>
                <w:sz w:val="18"/>
                <w:szCs w:val="18"/>
                <w:u w:val="none"/>
              </w:rPr>
            </w:pPr>
          </w:p>
        </w:tc>
        <w:tc>
          <w:tcPr>
            <w:tcW w:w="606" w:type="dxa"/>
            <w:shd w:val="clear" w:color="auto" w:fill="auto"/>
            <w:vAlign w:val="bottom"/>
          </w:tcPr>
          <w:p>
            <w:pPr>
              <w:rPr>
                <w:rFonts w:hint="eastAsia" w:ascii="宋体" w:hAnsi="宋体" w:eastAsia="宋体" w:cs="宋体"/>
                <w:i w:val="0"/>
                <w:color w:val="000000"/>
                <w:sz w:val="18"/>
                <w:szCs w:val="18"/>
                <w:u w:val="none"/>
              </w:rPr>
            </w:pPr>
          </w:p>
        </w:tc>
        <w:tc>
          <w:tcPr>
            <w:tcW w:w="591" w:type="dxa"/>
            <w:gridSpan w:val="2"/>
            <w:shd w:val="clear" w:color="auto" w:fill="auto"/>
            <w:vAlign w:val="bottom"/>
          </w:tcPr>
          <w:p>
            <w:pPr>
              <w:rPr>
                <w:rFonts w:hint="eastAsia" w:ascii="宋体" w:hAnsi="宋体" w:eastAsia="宋体" w:cs="宋体"/>
                <w:i w:val="0"/>
                <w:color w:val="000000"/>
                <w:sz w:val="18"/>
                <w:szCs w:val="18"/>
                <w:u w:val="none"/>
              </w:rPr>
            </w:pPr>
          </w:p>
        </w:tc>
        <w:tc>
          <w:tcPr>
            <w:tcW w:w="606" w:type="dxa"/>
            <w:shd w:val="clear" w:color="auto" w:fill="auto"/>
            <w:vAlign w:val="bottom"/>
          </w:tcPr>
          <w:p>
            <w:pPr>
              <w:rPr>
                <w:rFonts w:hint="eastAsia" w:ascii="宋体" w:hAnsi="宋体" w:eastAsia="宋体" w:cs="宋体"/>
                <w:i w:val="0"/>
                <w:color w:val="000000"/>
                <w:sz w:val="18"/>
                <w:szCs w:val="18"/>
                <w:u w:val="none"/>
              </w:rPr>
            </w:pPr>
          </w:p>
        </w:tc>
        <w:tc>
          <w:tcPr>
            <w:tcW w:w="9594" w:type="dxa"/>
            <w:gridSpan w:val="6"/>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4794" w:type="dxa"/>
            <w:gridSpan w:val="15"/>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2022年部门项目支出预算表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137" w:type="dxa"/>
            <w:gridSpan w:val="3"/>
            <w:shd w:val="clear" w:color="auto" w:fill="auto"/>
            <w:vAlign w:val="center"/>
          </w:tcPr>
          <w:p>
            <w:pPr>
              <w:jc w:val="left"/>
              <w:rPr>
                <w:rFonts w:hint="eastAsia" w:ascii="宋体" w:hAnsi="宋体" w:eastAsia="宋体" w:cs="宋体"/>
                <w:i w:val="0"/>
                <w:color w:val="000000"/>
                <w:sz w:val="20"/>
                <w:szCs w:val="20"/>
                <w:u w:val="none"/>
              </w:rPr>
            </w:pPr>
          </w:p>
        </w:tc>
        <w:tc>
          <w:tcPr>
            <w:tcW w:w="2224" w:type="dxa"/>
            <w:gridSpan w:val="4"/>
            <w:shd w:val="clear" w:color="auto" w:fill="auto"/>
            <w:vAlign w:val="bottom"/>
          </w:tcPr>
          <w:p>
            <w:pPr>
              <w:rPr>
                <w:rFonts w:hint="eastAsia" w:ascii="宋体" w:hAnsi="宋体" w:eastAsia="宋体" w:cs="宋体"/>
                <w:i w:val="0"/>
                <w:color w:val="000000"/>
                <w:sz w:val="22"/>
                <w:szCs w:val="22"/>
                <w:u w:val="none"/>
              </w:rPr>
            </w:pPr>
          </w:p>
        </w:tc>
        <w:tc>
          <w:tcPr>
            <w:tcW w:w="1551" w:type="dxa"/>
            <w:gridSpan w:val="3"/>
            <w:shd w:val="clear" w:color="auto" w:fill="auto"/>
            <w:vAlign w:val="bottom"/>
          </w:tcPr>
          <w:p>
            <w:pPr>
              <w:rPr>
                <w:rFonts w:hint="eastAsia" w:ascii="宋体" w:hAnsi="宋体" w:eastAsia="宋体" w:cs="宋体"/>
                <w:i w:val="0"/>
                <w:color w:val="000000"/>
                <w:sz w:val="22"/>
                <w:szCs w:val="22"/>
                <w:u w:val="none"/>
              </w:rPr>
            </w:pPr>
          </w:p>
        </w:tc>
        <w:tc>
          <w:tcPr>
            <w:tcW w:w="1837" w:type="dxa"/>
            <w:shd w:val="clear" w:color="auto" w:fill="auto"/>
            <w:vAlign w:val="bottom"/>
          </w:tcPr>
          <w:p>
            <w:pPr>
              <w:rPr>
                <w:rFonts w:hint="eastAsia" w:ascii="宋体" w:hAnsi="宋体" w:eastAsia="宋体" w:cs="宋体"/>
                <w:i w:val="0"/>
                <w:color w:val="000000"/>
                <w:sz w:val="22"/>
                <w:szCs w:val="22"/>
                <w:u w:val="none"/>
              </w:rPr>
            </w:pPr>
          </w:p>
        </w:tc>
        <w:tc>
          <w:tcPr>
            <w:tcW w:w="1668" w:type="dxa"/>
            <w:shd w:val="clear" w:color="auto" w:fill="auto"/>
            <w:vAlign w:val="bottom"/>
          </w:tcPr>
          <w:p>
            <w:pPr>
              <w:rPr>
                <w:rFonts w:hint="eastAsia" w:ascii="宋体" w:hAnsi="宋体" w:eastAsia="宋体" w:cs="宋体"/>
                <w:i w:val="0"/>
                <w:color w:val="000000"/>
                <w:sz w:val="22"/>
                <w:szCs w:val="22"/>
                <w:u w:val="none"/>
              </w:rPr>
            </w:pPr>
          </w:p>
        </w:tc>
        <w:tc>
          <w:tcPr>
            <w:tcW w:w="1871" w:type="dxa"/>
            <w:shd w:val="clear" w:color="auto" w:fill="auto"/>
            <w:vAlign w:val="bottom"/>
          </w:tcPr>
          <w:p>
            <w:pPr>
              <w:rPr>
                <w:rFonts w:hint="eastAsia" w:ascii="宋体" w:hAnsi="宋体" w:eastAsia="宋体" w:cs="宋体"/>
                <w:i w:val="0"/>
                <w:color w:val="000000"/>
                <w:sz w:val="22"/>
                <w:szCs w:val="22"/>
                <w:u w:val="none"/>
              </w:rPr>
            </w:pPr>
          </w:p>
        </w:tc>
        <w:tc>
          <w:tcPr>
            <w:tcW w:w="1922" w:type="dxa"/>
            <w:shd w:val="clear" w:color="auto" w:fill="auto"/>
            <w:vAlign w:val="bottom"/>
          </w:tcPr>
          <w:p>
            <w:pPr>
              <w:rPr>
                <w:rFonts w:hint="eastAsia" w:ascii="宋体" w:hAnsi="宋体" w:eastAsia="宋体" w:cs="宋体"/>
                <w:i w:val="0"/>
                <w:color w:val="000000"/>
                <w:sz w:val="22"/>
                <w:szCs w:val="22"/>
                <w:u w:val="none"/>
              </w:rPr>
            </w:pPr>
          </w:p>
        </w:tc>
        <w:tc>
          <w:tcPr>
            <w:tcW w:w="1584"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213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单位名称</w:t>
            </w:r>
          </w:p>
        </w:tc>
        <w:tc>
          <w:tcPr>
            <w:tcW w:w="2224"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155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总计</w:t>
            </w:r>
          </w:p>
        </w:tc>
        <w:tc>
          <w:tcPr>
            <w:tcW w:w="18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w:t>
            </w:r>
          </w:p>
        </w:tc>
        <w:tc>
          <w:tcPr>
            <w:tcW w:w="16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w:t>
            </w:r>
          </w:p>
        </w:tc>
        <w:tc>
          <w:tcPr>
            <w:tcW w:w="18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w:t>
            </w:r>
          </w:p>
        </w:tc>
        <w:tc>
          <w:tcPr>
            <w:tcW w:w="19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财政专户管理资金</w:t>
            </w:r>
          </w:p>
        </w:tc>
        <w:tc>
          <w:tcPr>
            <w:tcW w:w="15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13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224"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5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213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224"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5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2" w:hRule="atLeast"/>
        </w:trPr>
        <w:tc>
          <w:tcPr>
            <w:tcW w:w="2137" w:type="dxa"/>
            <w:gridSpan w:val="3"/>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224" w:type="dxa"/>
            <w:gridSpan w:val="4"/>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551" w:type="dxa"/>
            <w:gridSpan w:val="3"/>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83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6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87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92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5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2" w:hRule="atLeast"/>
        </w:trPr>
        <w:tc>
          <w:tcPr>
            <w:tcW w:w="2137" w:type="dxa"/>
            <w:gridSpan w:val="3"/>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2224" w:type="dxa"/>
            <w:gridSpan w:val="4"/>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5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290.18</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290.18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9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95" w:hRule="atLeast"/>
        </w:trPr>
        <w:tc>
          <w:tcPr>
            <w:tcW w:w="2137" w:type="dxa"/>
            <w:gridSpan w:val="3"/>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金华市投资促进中心</w:t>
            </w:r>
          </w:p>
        </w:tc>
        <w:tc>
          <w:tcPr>
            <w:tcW w:w="2224" w:type="dxa"/>
            <w:gridSpan w:val="4"/>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招商引资</w:t>
            </w:r>
          </w:p>
        </w:tc>
        <w:tc>
          <w:tcPr>
            <w:tcW w:w="15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277.00</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277.00</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9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9" w:hRule="atLeast"/>
        </w:trPr>
        <w:tc>
          <w:tcPr>
            <w:tcW w:w="2137" w:type="dxa"/>
            <w:gridSpan w:val="3"/>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金华市投资促进中心</w:t>
            </w:r>
          </w:p>
        </w:tc>
        <w:tc>
          <w:tcPr>
            <w:tcW w:w="2224" w:type="dxa"/>
            <w:gridSpan w:val="4"/>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电子政务项目</w:t>
            </w:r>
          </w:p>
        </w:tc>
        <w:tc>
          <w:tcPr>
            <w:tcW w:w="15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13.18</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9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137" w:type="dxa"/>
            <w:gridSpan w:val="3"/>
            <w:shd w:val="clear" w:color="auto" w:fill="auto"/>
            <w:vAlign w:val="bottom"/>
          </w:tcPr>
          <w:p>
            <w:pPr>
              <w:rPr>
                <w:rFonts w:hint="eastAsia" w:ascii="Arial" w:hAnsi="Arial" w:cs="Arial"/>
                <w:i w:val="0"/>
                <w:color w:val="000000"/>
                <w:sz w:val="20"/>
                <w:szCs w:val="20"/>
                <w:u w:val="none"/>
              </w:rPr>
            </w:pPr>
          </w:p>
        </w:tc>
        <w:tc>
          <w:tcPr>
            <w:tcW w:w="2224" w:type="dxa"/>
            <w:gridSpan w:val="4"/>
            <w:shd w:val="clear" w:color="auto" w:fill="auto"/>
            <w:vAlign w:val="bottom"/>
          </w:tcPr>
          <w:p>
            <w:pPr>
              <w:rPr>
                <w:rFonts w:hint="default" w:ascii="Arial" w:hAnsi="Arial" w:cs="Arial"/>
                <w:i w:val="0"/>
                <w:color w:val="000000"/>
                <w:sz w:val="20"/>
                <w:szCs w:val="20"/>
                <w:u w:val="none"/>
              </w:rPr>
            </w:pPr>
          </w:p>
        </w:tc>
        <w:tc>
          <w:tcPr>
            <w:tcW w:w="1551" w:type="dxa"/>
            <w:gridSpan w:val="3"/>
            <w:shd w:val="clear" w:color="auto" w:fill="auto"/>
            <w:vAlign w:val="bottom"/>
          </w:tcPr>
          <w:p>
            <w:pPr>
              <w:rPr>
                <w:rFonts w:hint="default" w:ascii="Arial" w:hAnsi="Arial" w:cs="Arial"/>
                <w:i w:val="0"/>
                <w:color w:val="000000"/>
                <w:sz w:val="20"/>
                <w:szCs w:val="20"/>
                <w:u w:val="none"/>
              </w:rPr>
            </w:pPr>
          </w:p>
        </w:tc>
        <w:tc>
          <w:tcPr>
            <w:tcW w:w="1837" w:type="dxa"/>
            <w:shd w:val="clear" w:color="auto" w:fill="auto"/>
            <w:vAlign w:val="bottom"/>
          </w:tcPr>
          <w:p>
            <w:pPr>
              <w:rPr>
                <w:rFonts w:hint="default" w:ascii="Arial" w:hAnsi="Arial" w:cs="Arial"/>
                <w:i w:val="0"/>
                <w:color w:val="000000"/>
                <w:sz w:val="20"/>
                <w:szCs w:val="20"/>
                <w:u w:val="none"/>
              </w:rPr>
            </w:pPr>
          </w:p>
        </w:tc>
        <w:tc>
          <w:tcPr>
            <w:tcW w:w="1668" w:type="dxa"/>
            <w:shd w:val="clear" w:color="auto" w:fill="auto"/>
            <w:vAlign w:val="bottom"/>
          </w:tcPr>
          <w:p>
            <w:pPr>
              <w:rPr>
                <w:rFonts w:hint="default" w:ascii="Arial" w:hAnsi="Arial" w:cs="Arial"/>
                <w:i w:val="0"/>
                <w:color w:val="000000"/>
                <w:sz w:val="20"/>
                <w:szCs w:val="20"/>
                <w:u w:val="none"/>
              </w:rPr>
            </w:pPr>
          </w:p>
        </w:tc>
        <w:tc>
          <w:tcPr>
            <w:tcW w:w="1871" w:type="dxa"/>
            <w:shd w:val="clear" w:color="auto" w:fill="auto"/>
            <w:vAlign w:val="bottom"/>
          </w:tcPr>
          <w:p>
            <w:pPr>
              <w:rPr>
                <w:rFonts w:hint="default" w:ascii="Arial" w:hAnsi="Arial" w:cs="Arial"/>
                <w:i w:val="0"/>
                <w:color w:val="000000"/>
                <w:sz w:val="20"/>
                <w:szCs w:val="20"/>
                <w:u w:val="none"/>
              </w:rPr>
            </w:pPr>
          </w:p>
        </w:tc>
        <w:tc>
          <w:tcPr>
            <w:tcW w:w="1922" w:type="dxa"/>
            <w:shd w:val="clear" w:color="auto" w:fill="auto"/>
            <w:vAlign w:val="bottom"/>
          </w:tcPr>
          <w:p>
            <w:pPr>
              <w:rPr>
                <w:rFonts w:hint="default" w:ascii="Arial" w:hAnsi="Arial" w:cs="Arial"/>
                <w:i w:val="0"/>
                <w:color w:val="000000"/>
                <w:sz w:val="20"/>
                <w:szCs w:val="20"/>
                <w:u w:val="none"/>
              </w:rPr>
            </w:pPr>
          </w:p>
        </w:tc>
        <w:tc>
          <w:tcPr>
            <w:tcW w:w="1584" w:type="dxa"/>
            <w:shd w:val="clear" w:color="auto" w:fill="auto"/>
            <w:vAlign w:val="bottom"/>
          </w:tcPr>
          <w:p>
            <w:pPr>
              <w:rPr>
                <w:rFonts w:hint="default" w:ascii="Arial" w:hAnsi="Arial" w:cs="Arial"/>
                <w:i w:val="0"/>
                <w:color w:val="000000"/>
                <w:sz w:val="20"/>
                <w:szCs w:val="20"/>
                <w:u w:val="none"/>
              </w:rPr>
            </w:pPr>
          </w:p>
        </w:tc>
      </w:tr>
    </w:tbl>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lang w:val="en-US" w:eastAsia="zh-CN"/>
        </w:rPr>
      </w:pP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lang w:val="en-US" w:eastAsia="zh-CN"/>
        </w:rPr>
      </w:pP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lang w:val="en-US" w:eastAsia="zh-CN"/>
        </w:rPr>
      </w:pP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lang w:val="en-US" w:eastAsia="zh-CN"/>
        </w:rPr>
      </w:pP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lang w:val="en-US" w:eastAsia="zh-CN"/>
        </w:rPr>
      </w:pP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lang w:val="en-US" w:eastAsia="zh-CN"/>
        </w:rPr>
      </w:pP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lang w:val="en-US" w:eastAsia="zh-CN"/>
        </w:rPr>
      </w:pP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lang w:val="en-US" w:eastAsia="zh-CN"/>
        </w:rPr>
      </w:pPr>
    </w:p>
    <w:tbl>
      <w:tblPr>
        <w:tblW w:w="157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322"/>
        <w:gridCol w:w="2276"/>
        <w:gridCol w:w="1668"/>
        <w:gridCol w:w="1534"/>
        <w:gridCol w:w="79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95" w:hRule="atLeast"/>
        </w:trPr>
        <w:tc>
          <w:tcPr>
            <w:tcW w:w="15721" w:type="dxa"/>
            <w:gridSpan w:val="5"/>
            <w:vMerge w:val="restart"/>
            <w:shd w:val="clear"/>
            <w:vAlign w:val="center"/>
          </w:tcPr>
          <w:p>
            <w:pPr>
              <w:keepNext w:val="0"/>
              <w:keepLines w:val="0"/>
              <w:widowControl/>
              <w:suppressLineNumbers w:val="0"/>
              <w:jc w:val="center"/>
              <w:textAlignment w:val="center"/>
              <w:rPr>
                <w:rFonts w:ascii="Calibri" w:hAnsi="Calibri" w:cs="Calibri"/>
                <w:i w:val="0"/>
                <w:color w:val="000000"/>
                <w:sz w:val="44"/>
                <w:szCs w:val="44"/>
                <w:u w:val="none"/>
              </w:rPr>
            </w:pPr>
            <w:r>
              <w:rPr>
                <w:rFonts w:hint="default" w:ascii="Calibri" w:hAnsi="Calibri" w:eastAsia="宋体" w:cs="Calibri"/>
                <w:i w:val="0"/>
                <w:color w:val="000000"/>
                <w:kern w:val="0"/>
                <w:sz w:val="44"/>
                <w:szCs w:val="44"/>
                <w:u w:val="none"/>
                <w:lang w:val="en-US" w:eastAsia="zh-CN" w:bidi="ar"/>
              </w:rPr>
              <w:t>2022年部门预算财政拨款重点项目支出预算表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260" w:hRule="atLeast"/>
        </w:trPr>
        <w:tc>
          <w:tcPr>
            <w:tcW w:w="15721" w:type="dxa"/>
            <w:gridSpan w:val="5"/>
            <w:vMerge w:val="continue"/>
            <w:shd w:val="clear"/>
            <w:vAlign w:val="center"/>
          </w:tcPr>
          <w:p>
            <w:pPr>
              <w:jc w:val="center"/>
              <w:rPr>
                <w:rFonts w:hint="default" w:ascii="Calibri" w:hAnsi="Calibri" w:cs="Calibri"/>
                <w:i w:val="0"/>
                <w:color w:val="000000"/>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64" w:hRule="atLeast"/>
        </w:trPr>
        <w:tc>
          <w:tcPr>
            <w:tcW w:w="2322"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306-金华市投资促进中心</w:t>
            </w:r>
          </w:p>
        </w:tc>
        <w:tc>
          <w:tcPr>
            <w:tcW w:w="2276" w:type="dxa"/>
            <w:shd w:val="clear"/>
            <w:vAlign w:val="bottom"/>
          </w:tcPr>
          <w:p>
            <w:pPr>
              <w:rPr>
                <w:rFonts w:hint="eastAsia" w:ascii="宋体" w:hAnsi="宋体" w:eastAsia="宋体" w:cs="宋体"/>
                <w:i w:val="0"/>
                <w:color w:val="000000"/>
                <w:sz w:val="20"/>
                <w:szCs w:val="20"/>
                <w:u w:val="none"/>
              </w:rPr>
            </w:pPr>
          </w:p>
        </w:tc>
        <w:tc>
          <w:tcPr>
            <w:tcW w:w="1668" w:type="dxa"/>
            <w:shd w:val="clear"/>
            <w:vAlign w:val="bottom"/>
          </w:tcPr>
          <w:p>
            <w:pPr>
              <w:rPr>
                <w:rFonts w:hint="eastAsia" w:ascii="宋体" w:hAnsi="宋体" w:eastAsia="宋体" w:cs="宋体"/>
                <w:i w:val="0"/>
                <w:color w:val="000000"/>
                <w:sz w:val="20"/>
                <w:szCs w:val="20"/>
                <w:u w:val="none"/>
              </w:rPr>
            </w:pPr>
          </w:p>
        </w:tc>
        <w:tc>
          <w:tcPr>
            <w:tcW w:w="1534" w:type="dxa"/>
            <w:shd w:val="clear"/>
            <w:vAlign w:val="bottom"/>
          </w:tcPr>
          <w:p>
            <w:pPr>
              <w:rPr>
                <w:rFonts w:hint="eastAsia" w:ascii="宋体" w:hAnsi="宋体" w:eastAsia="宋体" w:cs="宋体"/>
                <w:i w:val="0"/>
                <w:color w:val="000000"/>
                <w:sz w:val="20"/>
                <w:szCs w:val="20"/>
                <w:u w:val="none"/>
              </w:rPr>
            </w:pPr>
          </w:p>
        </w:tc>
        <w:tc>
          <w:tcPr>
            <w:tcW w:w="7921" w:type="dxa"/>
            <w:shd w:val="cle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98" w:hRule="atLeast"/>
        </w:trPr>
        <w:tc>
          <w:tcPr>
            <w:tcW w:w="23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单位代码</w:t>
            </w:r>
          </w:p>
        </w:tc>
        <w:tc>
          <w:tcPr>
            <w:tcW w:w="2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单位名称</w:t>
            </w:r>
          </w:p>
        </w:tc>
        <w:tc>
          <w:tcPr>
            <w:tcW w:w="16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一级项目名称</w:t>
            </w:r>
          </w:p>
        </w:tc>
        <w:tc>
          <w:tcPr>
            <w:tcW w:w="15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79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30" w:hRule="atLeast"/>
        </w:trPr>
        <w:tc>
          <w:tcPr>
            <w:tcW w:w="23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6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5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9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46" w:hRule="atLeast"/>
        </w:trPr>
        <w:tc>
          <w:tcPr>
            <w:tcW w:w="23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306301</w:t>
            </w:r>
          </w:p>
        </w:tc>
        <w:tc>
          <w:tcPr>
            <w:tcW w:w="22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66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5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290.18</w:t>
            </w:r>
          </w:p>
        </w:tc>
        <w:tc>
          <w:tcPr>
            <w:tcW w:w="792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234" w:hRule="atLeast"/>
        </w:trPr>
        <w:tc>
          <w:tcPr>
            <w:tcW w:w="23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306301</w:t>
            </w:r>
          </w:p>
        </w:tc>
        <w:tc>
          <w:tcPr>
            <w:tcW w:w="2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金华市投资促进中心</w:t>
            </w:r>
          </w:p>
        </w:tc>
        <w:tc>
          <w:tcPr>
            <w:tcW w:w="16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招商引资</w:t>
            </w:r>
          </w:p>
        </w:tc>
        <w:tc>
          <w:tcPr>
            <w:tcW w:w="15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277.00</w:t>
            </w:r>
          </w:p>
        </w:tc>
        <w:tc>
          <w:tcPr>
            <w:tcW w:w="79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全市浙商回归引进项目到位资金比上年增加15％以上 ，项目质量明显提升，完成省对市、市对县考核任务。加强项目储备,完善招商引资项目库,编制年度重点项目册；精心组织各类招商活动，当年签约项目数达60个，近三年签约项目落地率达40％以上。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81" w:hRule="atLeast"/>
        </w:trPr>
        <w:tc>
          <w:tcPr>
            <w:tcW w:w="23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306301</w:t>
            </w:r>
          </w:p>
        </w:tc>
        <w:tc>
          <w:tcPr>
            <w:tcW w:w="2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金华市投资促进中心</w:t>
            </w:r>
          </w:p>
        </w:tc>
        <w:tc>
          <w:tcPr>
            <w:tcW w:w="16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电子政务项目</w:t>
            </w:r>
          </w:p>
        </w:tc>
        <w:tc>
          <w:tcPr>
            <w:tcW w:w="15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13.18</w:t>
            </w:r>
          </w:p>
        </w:tc>
        <w:tc>
          <w:tcPr>
            <w:tcW w:w="79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经常性在新闻媒体开展经合招商工作宣传，每年刊登新闻不少于20篇，开设专版专题宣传，在网站投送信息不少于200条。</w:t>
            </w:r>
          </w:p>
        </w:tc>
      </w:tr>
    </w:tbl>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lang w:val="en-US" w:eastAsia="zh-CN"/>
        </w:rPr>
      </w:pP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lang w:val="en-US" w:eastAsia="zh-CN"/>
        </w:rPr>
      </w:pP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lang w:val="en-US" w:eastAsia="zh-CN"/>
        </w:rPr>
      </w:pPr>
    </w:p>
    <w:p>
      <w:pPr>
        <w:pStyle w:val="11"/>
        <w:keepNext w:val="0"/>
        <w:keepLines w:val="0"/>
        <w:pageBreakBefore w:val="0"/>
        <w:widowControl w:val="0"/>
        <w:kinsoku/>
        <w:overflowPunct/>
        <w:topLinePunct w:val="0"/>
        <w:autoSpaceDE/>
        <w:autoSpaceDN/>
        <w:bidi w:val="0"/>
        <w:adjustRightInd/>
        <w:spacing w:beforeAutospacing="0" w:afterAutospacing="0" w:line="540" w:lineRule="exact"/>
        <w:ind w:left="0" w:leftChars="0" w:right="0" w:rightChars="0" w:firstLine="0" w:firstLineChars="0"/>
        <w:textAlignment w:val="auto"/>
        <w:outlineLvl w:val="9"/>
        <w:rPr>
          <w:rFonts w:hint="eastAsia" w:ascii="仿宋" w:hAnsi="仿宋" w:eastAsia="仿宋" w:cs="仿宋"/>
          <w:sz w:val="32"/>
          <w:szCs w:val="32"/>
          <w:lang w:val="en-US" w:eastAsia="zh-CN"/>
        </w:rPr>
      </w:pPr>
    </w:p>
    <w:sectPr>
      <w:pgSz w:w="16838" w:h="11906" w:orient="landscape"/>
      <w:pgMar w:top="-87" w:right="567" w:bottom="113" w:left="567" w:header="851" w:footer="992" w:gutter="0"/>
      <w:pgNumType w:fmt="decimalFullWidt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创艺简标宋">
    <w:altName w:val="方正粗黑宋简体"/>
    <w:panose1 w:val="00000000000000000000"/>
    <w:charset w:val="86"/>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粗黑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幼圆">
    <w:altName w:val="宋体"/>
    <w:panose1 w:val="02010509060101010101"/>
    <w:charset w:val="86"/>
    <w:family w:val="auto"/>
    <w:pitch w:val="default"/>
    <w:sig w:usb0="00000000" w:usb1="0000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Batang">
    <w:panose1 w:val="0203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Microsoft JhengHei">
    <w:panose1 w:val="020B0604030504040204"/>
    <w:charset w:val="88"/>
    <w:family w:val="auto"/>
    <w:pitch w:val="default"/>
    <w:sig w:usb0="00000087" w:usb1="28AF4000" w:usb2="00000016" w:usb3="00000000" w:csb0="00100009" w:csb1="00000000"/>
  </w:font>
  <w:font w:name="MS PMincho">
    <w:panose1 w:val="02020600040205080304"/>
    <w:charset w:val="80"/>
    <w:family w:val="auto"/>
    <w:pitch w:val="default"/>
    <w:sig w:usb0="E00002FF" w:usb1="6AC7FDFB" w:usb2="00000012" w:usb3="00000000" w:csb0="4002009F" w:csb1="DFD70000"/>
  </w:font>
  <w:font w:name="Bookshelf Symbol 7">
    <w:panose1 w:val="05010101010101010101"/>
    <w:charset w:val="00"/>
    <w:family w:val="auto"/>
    <w:pitch w:val="default"/>
    <w:sig w:usb0="00000000" w:usb1="00000000" w:usb2="00000000" w:usb3="00000000" w:csb0="80000000" w:csb1="00000000"/>
  </w:font>
  <w:font w:name="MS Gothic">
    <w:panose1 w:val="020B0609070205080204"/>
    <w:charset w:val="80"/>
    <w:family w:val="auto"/>
    <w:pitch w:val="default"/>
    <w:sig w:usb0="E00002FF" w:usb1="6AC7FDFB" w:usb2="00000012" w:usb3="00000000" w:csb0="4002009F" w:csb1="DFD70000"/>
  </w:font>
  <w:font w:name="BatangChe">
    <w:panose1 w:val="0203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hakuyoxingshu7000">
    <w:panose1 w:val="02000600000000000000"/>
    <w:charset w:val="86"/>
    <w:family w:val="auto"/>
    <w:pitch w:val="default"/>
    <w:sig w:usb0="FFFFFFFF" w:usb1="E9FFFFFF" w:usb2="0000003F" w:usb3="00000000" w:csb0="603F00FF" w:csb1="FFFF0000"/>
  </w:font>
  <w:font w:name="Malgun Gothic">
    <w:panose1 w:val="020B0503020000020004"/>
    <w:charset w:val="81"/>
    <w:family w:val="auto"/>
    <w:pitch w:val="default"/>
    <w:sig w:usb0="900002AF" w:usb1="01D77CFB" w:usb2="00000012" w:usb3="00000000" w:csb0="00080001" w:csb1="00000000"/>
  </w:font>
  <w:font w:name="等线">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106" o:spid="_x0000_s4106" o:spt="202" type="#_x0000_t202" style="position:absolute;left:0pt;margin-top:0pt;height:144pt;width:144pt;mso-position-horizontal:center;mso-position-horizontal-relative:margin;mso-wrap-style:none;z-index:251675648;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rPr>
        <w:rFonts w:ascii="楷体" w:hAnsi="楷体" w:eastAsia="楷体"/>
        <w:b w:val="0"/>
      </w:rPr>
    </w:lvl>
  </w:abstractNum>
  <w:abstractNum w:abstractNumId="2">
    <w:nsid w:val="628350A4"/>
    <w:multiLevelType w:val="singleLevel"/>
    <w:tmpl w:val="628350A4"/>
    <w:lvl w:ilvl="0" w:tentative="0">
      <w:start w:val="1"/>
      <w:numFmt w:val="chineseCounting"/>
      <w:suff w:val="nothing"/>
      <w:lvlText w:val="（%1）"/>
      <w:lvlJc w:val="left"/>
    </w:lvl>
  </w:abstractNum>
  <w:abstractNum w:abstractNumId="3">
    <w:nsid w:val="64DC1E5C"/>
    <w:multiLevelType w:val="singleLevel"/>
    <w:tmpl w:val="64DC1E5C"/>
    <w:lvl w:ilvl="0" w:tentative="0">
      <w:start w:val="2"/>
      <w:numFmt w:val="chineseCounting"/>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val="1"/>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1A21A8A"/>
    <w:rsid w:val="002B5156"/>
    <w:rsid w:val="00383321"/>
    <w:rsid w:val="003E5690"/>
    <w:rsid w:val="005A68D8"/>
    <w:rsid w:val="00621DC0"/>
    <w:rsid w:val="007150B4"/>
    <w:rsid w:val="007866E0"/>
    <w:rsid w:val="00811313"/>
    <w:rsid w:val="00892205"/>
    <w:rsid w:val="00C621BF"/>
    <w:rsid w:val="00D0477F"/>
    <w:rsid w:val="00D701FB"/>
    <w:rsid w:val="00F76DDA"/>
    <w:rsid w:val="00F8591F"/>
    <w:rsid w:val="00FD6E15"/>
    <w:rsid w:val="01043082"/>
    <w:rsid w:val="01F955F6"/>
    <w:rsid w:val="02AE2952"/>
    <w:rsid w:val="02C42297"/>
    <w:rsid w:val="03020A17"/>
    <w:rsid w:val="04067E7A"/>
    <w:rsid w:val="04B46DD8"/>
    <w:rsid w:val="04D36C43"/>
    <w:rsid w:val="04DF2F28"/>
    <w:rsid w:val="05024CDB"/>
    <w:rsid w:val="056D49BB"/>
    <w:rsid w:val="05710E82"/>
    <w:rsid w:val="05DA5263"/>
    <w:rsid w:val="06075896"/>
    <w:rsid w:val="061962AD"/>
    <w:rsid w:val="069816F7"/>
    <w:rsid w:val="069D022D"/>
    <w:rsid w:val="070F2C3C"/>
    <w:rsid w:val="07687250"/>
    <w:rsid w:val="080079C9"/>
    <w:rsid w:val="090E4C60"/>
    <w:rsid w:val="095A0F98"/>
    <w:rsid w:val="09AD77BC"/>
    <w:rsid w:val="09CE7242"/>
    <w:rsid w:val="09EA68BC"/>
    <w:rsid w:val="0AE7791C"/>
    <w:rsid w:val="0BA01551"/>
    <w:rsid w:val="0BD2352E"/>
    <w:rsid w:val="0BF65D88"/>
    <w:rsid w:val="0D40149E"/>
    <w:rsid w:val="0DEE30A4"/>
    <w:rsid w:val="0E5829FE"/>
    <w:rsid w:val="0E9E5853"/>
    <w:rsid w:val="0F5459E0"/>
    <w:rsid w:val="0F8A40BD"/>
    <w:rsid w:val="108B086A"/>
    <w:rsid w:val="110D053E"/>
    <w:rsid w:val="1137705D"/>
    <w:rsid w:val="11E60155"/>
    <w:rsid w:val="121B138F"/>
    <w:rsid w:val="12662321"/>
    <w:rsid w:val="12AF36A8"/>
    <w:rsid w:val="13633450"/>
    <w:rsid w:val="14216FA8"/>
    <w:rsid w:val="147D3412"/>
    <w:rsid w:val="14CE156B"/>
    <w:rsid w:val="14E22977"/>
    <w:rsid w:val="155A0F6B"/>
    <w:rsid w:val="15DA711F"/>
    <w:rsid w:val="16187E73"/>
    <w:rsid w:val="18E2665E"/>
    <w:rsid w:val="1954439A"/>
    <w:rsid w:val="19CF0EE7"/>
    <w:rsid w:val="19D02BD7"/>
    <w:rsid w:val="1A6F6B43"/>
    <w:rsid w:val="1AB61F66"/>
    <w:rsid w:val="1B102844"/>
    <w:rsid w:val="1B5118C4"/>
    <w:rsid w:val="1BC36708"/>
    <w:rsid w:val="1D115A1E"/>
    <w:rsid w:val="1D2F296A"/>
    <w:rsid w:val="1E912241"/>
    <w:rsid w:val="1F2116C7"/>
    <w:rsid w:val="1FDD05B8"/>
    <w:rsid w:val="1FE12E10"/>
    <w:rsid w:val="20263B12"/>
    <w:rsid w:val="20473217"/>
    <w:rsid w:val="20C9688E"/>
    <w:rsid w:val="213E6140"/>
    <w:rsid w:val="21913AE5"/>
    <w:rsid w:val="21BD0E17"/>
    <w:rsid w:val="21BE28E6"/>
    <w:rsid w:val="2381372A"/>
    <w:rsid w:val="244C61AB"/>
    <w:rsid w:val="249167F9"/>
    <w:rsid w:val="253B0B7C"/>
    <w:rsid w:val="254B7D80"/>
    <w:rsid w:val="25982C8F"/>
    <w:rsid w:val="26CD1008"/>
    <w:rsid w:val="26E45372"/>
    <w:rsid w:val="27AF32D3"/>
    <w:rsid w:val="27EB5D56"/>
    <w:rsid w:val="281124A7"/>
    <w:rsid w:val="28806D1A"/>
    <w:rsid w:val="289A6B0E"/>
    <w:rsid w:val="28F56AD4"/>
    <w:rsid w:val="293D34EE"/>
    <w:rsid w:val="29520472"/>
    <w:rsid w:val="29A60410"/>
    <w:rsid w:val="29E2520E"/>
    <w:rsid w:val="2A0E50B9"/>
    <w:rsid w:val="2A6504A2"/>
    <w:rsid w:val="2A97173A"/>
    <w:rsid w:val="2AAB1C9A"/>
    <w:rsid w:val="2B352092"/>
    <w:rsid w:val="2B684114"/>
    <w:rsid w:val="2BD45235"/>
    <w:rsid w:val="2BF8479C"/>
    <w:rsid w:val="2D6E6FB8"/>
    <w:rsid w:val="2DBD631A"/>
    <w:rsid w:val="2ECE5553"/>
    <w:rsid w:val="2EE44A57"/>
    <w:rsid w:val="2F0B6370"/>
    <w:rsid w:val="2F0D429E"/>
    <w:rsid w:val="2F917F66"/>
    <w:rsid w:val="300D0F0E"/>
    <w:rsid w:val="30CE257F"/>
    <w:rsid w:val="30E6309A"/>
    <w:rsid w:val="31F8526E"/>
    <w:rsid w:val="32AE666B"/>
    <w:rsid w:val="32C614FA"/>
    <w:rsid w:val="331F553D"/>
    <w:rsid w:val="348F309A"/>
    <w:rsid w:val="35393398"/>
    <w:rsid w:val="36095473"/>
    <w:rsid w:val="36170FB3"/>
    <w:rsid w:val="36A002C0"/>
    <w:rsid w:val="371E762A"/>
    <w:rsid w:val="3739315A"/>
    <w:rsid w:val="37752F96"/>
    <w:rsid w:val="37E76EB7"/>
    <w:rsid w:val="38145CEC"/>
    <w:rsid w:val="384364FF"/>
    <w:rsid w:val="38C64E75"/>
    <w:rsid w:val="3978177E"/>
    <w:rsid w:val="39910FB3"/>
    <w:rsid w:val="3AF7438C"/>
    <w:rsid w:val="3B697077"/>
    <w:rsid w:val="3CAB121D"/>
    <w:rsid w:val="3D312521"/>
    <w:rsid w:val="3E464705"/>
    <w:rsid w:val="3ECA1E1A"/>
    <w:rsid w:val="3F1A4199"/>
    <w:rsid w:val="3F3E5AC2"/>
    <w:rsid w:val="3F9038D8"/>
    <w:rsid w:val="3FAD5444"/>
    <w:rsid w:val="3FCE698B"/>
    <w:rsid w:val="40040ED6"/>
    <w:rsid w:val="40047D62"/>
    <w:rsid w:val="40214E2A"/>
    <w:rsid w:val="4103509C"/>
    <w:rsid w:val="41EC03A6"/>
    <w:rsid w:val="41F51843"/>
    <w:rsid w:val="41F87A0D"/>
    <w:rsid w:val="425203A3"/>
    <w:rsid w:val="42646442"/>
    <w:rsid w:val="43040B5D"/>
    <w:rsid w:val="430515E0"/>
    <w:rsid w:val="436E4E0B"/>
    <w:rsid w:val="438E48FF"/>
    <w:rsid w:val="43926996"/>
    <w:rsid w:val="43A4404C"/>
    <w:rsid w:val="43C250B0"/>
    <w:rsid w:val="463A37E6"/>
    <w:rsid w:val="48970E7B"/>
    <w:rsid w:val="48E7451B"/>
    <w:rsid w:val="4A0A6693"/>
    <w:rsid w:val="4A6413FE"/>
    <w:rsid w:val="4A856CB6"/>
    <w:rsid w:val="4AA478B4"/>
    <w:rsid w:val="4ADE3F51"/>
    <w:rsid w:val="4B505D95"/>
    <w:rsid w:val="4BE8313B"/>
    <w:rsid w:val="4C0E795E"/>
    <w:rsid w:val="4C986343"/>
    <w:rsid w:val="4DBB0FAF"/>
    <w:rsid w:val="4E1F22D1"/>
    <w:rsid w:val="4E8A3F75"/>
    <w:rsid w:val="4E9C19E6"/>
    <w:rsid w:val="4F4879CD"/>
    <w:rsid w:val="4F653240"/>
    <w:rsid w:val="509D3043"/>
    <w:rsid w:val="50F12902"/>
    <w:rsid w:val="50F16BCA"/>
    <w:rsid w:val="51A21A8A"/>
    <w:rsid w:val="51D25930"/>
    <w:rsid w:val="51DB5CF2"/>
    <w:rsid w:val="523B6724"/>
    <w:rsid w:val="52605E91"/>
    <w:rsid w:val="529D02B7"/>
    <w:rsid w:val="52B55531"/>
    <w:rsid w:val="53CB2E6F"/>
    <w:rsid w:val="54AD4453"/>
    <w:rsid w:val="55A00651"/>
    <w:rsid w:val="56A11071"/>
    <w:rsid w:val="56D01219"/>
    <w:rsid w:val="56E05E48"/>
    <w:rsid w:val="56FE115F"/>
    <w:rsid w:val="575032CE"/>
    <w:rsid w:val="575201B1"/>
    <w:rsid w:val="576335F9"/>
    <w:rsid w:val="589314EB"/>
    <w:rsid w:val="58BF70DF"/>
    <w:rsid w:val="58E84884"/>
    <w:rsid w:val="590D10E5"/>
    <w:rsid w:val="592E0BF6"/>
    <w:rsid w:val="5A290EBE"/>
    <w:rsid w:val="5B1B1C53"/>
    <w:rsid w:val="5B6445D4"/>
    <w:rsid w:val="5B6F308A"/>
    <w:rsid w:val="5BB863ED"/>
    <w:rsid w:val="5C547C1A"/>
    <w:rsid w:val="5D0D3940"/>
    <w:rsid w:val="5D1F2FCE"/>
    <w:rsid w:val="5E701827"/>
    <w:rsid w:val="5F7921BE"/>
    <w:rsid w:val="5FD16132"/>
    <w:rsid w:val="5FD650AB"/>
    <w:rsid w:val="600B3E98"/>
    <w:rsid w:val="60A64093"/>
    <w:rsid w:val="60DD59F5"/>
    <w:rsid w:val="61591955"/>
    <w:rsid w:val="61855F76"/>
    <w:rsid w:val="63126598"/>
    <w:rsid w:val="635F4267"/>
    <w:rsid w:val="637643A4"/>
    <w:rsid w:val="63BB14A6"/>
    <w:rsid w:val="64CE6F72"/>
    <w:rsid w:val="64F04E2D"/>
    <w:rsid w:val="651112DA"/>
    <w:rsid w:val="65392ED3"/>
    <w:rsid w:val="65BA355F"/>
    <w:rsid w:val="65DB1052"/>
    <w:rsid w:val="65EB3E86"/>
    <w:rsid w:val="66871800"/>
    <w:rsid w:val="66AD57CD"/>
    <w:rsid w:val="66B51DEF"/>
    <w:rsid w:val="66FA3014"/>
    <w:rsid w:val="67A83957"/>
    <w:rsid w:val="68781873"/>
    <w:rsid w:val="693837FF"/>
    <w:rsid w:val="6A63410F"/>
    <w:rsid w:val="6A773626"/>
    <w:rsid w:val="6B4C3CA4"/>
    <w:rsid w:val="6B7F75DA"/>
    <w:rsid w:val="6BF220CF"/>
    <w:rsid w:val="6CEE1197"/>
    <w:rsid w:val="6CEF760A"/>
    <w:rsid w:val="6DC834E1"/>
    <w:rsid w:val="6DCB0794"/>
    <w:rsid w:val="6DE36DF0"/>
    <w:rsid w:val="6E1F126C"/>
    <w:rsid w:val="6E5A27BD"/>
    <w:rsid w:val="6EB0353D"/>
    <w:rsid w:val="6F8410AC"/>
    <w:rsid w:val="6FD97D73"/>
    <w:rsid w:val="701B4353"/>
    <w:rsid w:val="704A61F9"/>
    <w:rsid w:val="71073101"/>
    <w:rsid w:val="71201512"/>
    <w:rsid w:val="71B20FB4"/>
    <w:rsid w:val="731E5337"/>
    <w:rsid w:val="73EC6E16"/>
    <w:rsid w:val="743029CD"/>
    <w:rsid w:val="74A96A85"/>
    <w:rsid w:val="74C529C3"/>
    <w:rsid w:val="751B4760"/>
    <w:rsid w:val="75647E2F"/>
    <w:rsid w:val="75EE08DD"/>
    <w:rsid w:val="761F6656"/>
    <w:rsid w:val="76595F61"/>
    <w:rsid w:val="76E47CB2"/>
    <w:rsid w:val="778E4028"/>
    <w:rsid w:val="77DC641C"/>
    <w:rsid w:val="77EF504E"/>
    <w:rsid w:val="78766E47"/>
    <w:rsid w:val="791B79AC"/>
    <w:rsid w:val="792F6157"/>
    <w:rsid w:val="7A0903B5"/>
    <w:rsid w:val="7A680973"/>
    <w:rsid w:val="7B410502"/>
    <w:rsid w:val="7B4D1A59"/>
    <w:rsid w:val="7B696BDB"/>
    <w:rsid w:val="7B7E54D0"/>
    <w:rsid w:val="7BB809ED"/>
    <w:rsid w:val="7C8A15B9"/>
    <w:rsid w:val="7CA42155"/>
    <w:rsid w:val="7CD74F99"/>
    <w:rsid w:val="7CEB165E"/>
    <w:rsid w:val="7D0B3AC2"/>
    <w:rsid w:val="7D5B686A"/>
    <w:rsid w:val="7D7702DA"/>
    <w:rsid w:val="7D795BF1"/>
    <w:rsid w:val="7DBB7C6F"/>
    <w:rsid w:val="7DE43D9C"/>
    <w:rsid w:val="7E2F5D08"/>
    <w:rsid w:val="7ED05E1B"/>
    <w:rsid w:val="7F277070"/>
    <w:rsid w:val="7F3D39DF"/>
    <w:rsid w:val="7F9F7557"/>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Body Text First Indent"/>
    <w:basedOn w:val="4"/>
    <w:next w:val="1"/>
    <w:uiPriority w:val="0"/>
    <w:pPr>
      <w:ind w:firstLine="420" w:firstLineChars="100"/>
    </w:pPr>
    <w:rPr>
      <w:szCs w:val="24"/>
    </w:rPr>
  </w:style>
  <w:style w:type="paragraph" w:styleId="4">
    <w:name w:val="Body Text"/>
    <w:basedOn w:val="1"/>
    <w:next w:val="3"/>
    <w:uiPriority w:val="0"/>
    <w:pPr>
      <w:jc w:val="center"/>
    </w:pPr>
    <w:rPr>
      <w:rFonts w:ascii="Times New Roman" w:hAnsi="Times New Roman"/>
      <w:kern w:val="0"/>
      <w:sz w:val="44"/>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50" w:after="150" w:line="480" w:lineRule="auto"/>
      <w:jc w:val="left"/>
    </w:pPr>
    <w:rPr>
      <w:rFonts w:hint="eastAsia" w:ascii="宋体" w:hAnsi="宋体"/>
      <w:color w:val="000000"/>
      <w:kern w:val="0"/>
      <w:sz w:val="24"/>
    </w:rPr>
  </w:style>
  <w:style w:type="character" w:styleId="9">
    <w:name w:val="Strong"/>
    <w:basedOn w:val="8"/>
    <w:qFormat/>
    <w:uiPriority w:val="0"/>
    <w:rPr>
      <w:rFonts w:ascii="宋体" w:hAnsi="宋体" w:cs="Courier New"/>
      <w:b/>
      <w:bCs/>
      <w:sz w:val="32"/>
      <w:szCs w:val="32"/>
    </w:rPr>
  </w:style>
  <w:style w:type="paragraph" w:customStyle="1" w:styleId="11">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10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市经合办</Company>
  <Pages>11</Pages>
  <Words>5225</Words>
  <Characters>600</Characters>
  <Lines>5</Lines>
  <Paragraphs>11</Paragraphs>
  <ScaleCrop>false</ScaleCrop>
  <LinksUpToDate>false</LinksUpToDate>
  <CharactersWithSpaces>5814</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2020-06-05T08:15:00Z</dcterms:created>
  <dc:creator>胡彩霞</dc:creator>
  <cp:lastModifiedBy>吴毅</cp:lastModifiedBy>
  <cp:lastPrinted>2022-05-18T02:11:00Z</cp:lastPrinted>
  <dcterms:modified xsi:type="dcterms:W3CDTF">2023-08-17T01:48:24Z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